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Title"/>
      <w:bookmarkEnd w:id="0"/>
      <w:bookmarkStart w:id="1" w:name="DocumentFor"/>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98-bis-e </w:t>
      </w:r>
      <w:r>
        <w:rPr>
          <w:rFonts w:hint="eastAsia" w:eastAsia="宋体" w:cs="Arial"/>
          <w:b/>
          <w:sz w:val="24"/>
          <w:szCs w:val="24"/>
          <w:lang w:val="en-US" w:eastAsia="zh-CN"/>
        </w:rPr>
        <w:t xml:space="preserve">                                                    </w:t>
      </w:r>
      <w:bookmarkStart w:id="3" w:name="_GoBack"/>
      <w:bookmarkEnd w:id="3"/>
      <w:r>
        <w:rPr>
          <w:rFonts w:ascii="Arial" w:hAnsi="Arial" w:cs="Arial"/>
          <w:b/>
          <w:sz w:val="24"/>
          <w:szCs w:val="24"/>
        </w:rPr>
        <w:t>R4-210</w:t>
      </w:r>
      <w:r>
        <w:rPr>
          <w:rFonts w:hint="eastAsia" w:eastAsia="宋体" w:cs="Arial"/>
          <w:b/>
          <w:sz w:val="24"/>
          <w:szCs w:val="24"/>
          <w:lang w:val="en-US" w:eastAsia="zh-CN"/>
        </w:rPr>
        <w:t>6366</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r>
        <w:rPr>
          <w:rFonts w:ascii="Arial" w:hAnsi="Arial" w:eastAsia="宋体"/>
          <w:b/>
          <w:sz w:val="24"/>
          <w:szCs w:val="24"/>
          <w:lang w:eastAsia="zh-CN"/>
        </w:rPr>
        <w:t>Electronic Meeting, Apr. 12-20,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2"/>
          <w:szCs w:val="22"/>
          <w:highlight w:val="none"/>
          <w:lang w:val="en-US" w:eastAsia="zh-CN"/>
        </w:rPr>
      </w:pPr>
      <w:r>
        <w:rPr>
          <w:rFonts w:hint="default" w:ascii="Arial" w:hAnsi="Arial" w:cs="Arial"/>
          <w:color w:val="auto"/>
          <w:sz w:val="22"/>
          <w:szCs w:val="22"/>
          <w:highlight w:val="none"/>
          <w:lang w:eastAsia="zh-CN"/>
        </w:rPr>
        <w:t>Source</w:t>
      </w:r>
      <w:r>
        <w:rPr>
          <w:rFonts w:hint="default" w:ascii="Arial" w:hAnsi="Arial" w:eastAsia="宋体" w:cs="Arial"/>
          <w:color w:val="auto"/>
          <w:sz w:val="22"/>
          <w:szCs w:val="22"/>
          <w:highlight w:val="none"/>
          <w:lang w:eastAsia="zh-CN"/>
        </w:rPr>
        <w:t>:</w:t>
      </w:r>
      <w:r>
        <w:rPr>
          <w:rFonts w:hint="default" w:ascii="Arial" w:hAnsi="Arial" w:eastAsia="宋体" w:cs="Arial"/>
          <w:color w:val="auto"/>
          <w:sz w:val="22"/>
          <w:szCs w:val="22"/>
          <w:highlight w:val="none"/>
          <w:lang w:eastAsia="zh-CN"/>
        </w:rPr>
        <w:tab/>
      </w:r>
      <w:r>
        <w:rPr>
          <w:rFonts w:hint="default" w:ascii="Arial" w:hAnsi="Arial" w:eastAsia="宋体" w:cs="Arial"/>
          <w:b w:val="0"/>
          <w:color w:val="auto"/>
          <w:sz w:val="22"/>
          <w:szCs w:val="22"/>
          <w:highlight w:val="none"/>
          <w:lang w:eastAsia="zh-CN"/>
        </w:rPr>
        <w:t>ZTE</w:t>
      </w:r>
      <w:r>
        <w:rPr>
          <w:rFonts w:hint="default" w:ascii="Arial" w:hAnsi="Arial" w:eastAsia="宋体" w:cs="Arial"/>
          <w:b w:val="0"/>
          <w:color w:val="auto"/>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color w:val="auto"/>
          <w:sz w:val="22"/>
          <w:szCs w:val="22"/>
          <w:highlight w:val="none"/>
          <w:lang w:val="en-US" w:eastAsia="zh-CN"/>
        </w:rPr>
      </w:pPr>
      <w:r>
        <w:rPr>
          <w:rFonts w:hint="default" w:ascii="Arial" w:hAnsi="Arial" w:cs="Arial"/>
          <w:color w:val="auto"/>
          <w:sz w:val="22"/>
          <w:szCs w:val="22"/>
          <w:highlight w:val="none"/>
          <w:lang w:val="en-US" w:eastAsia="zh-CN"/>
        </w:rPr>
        <w:t>Title:</w:t>
      </w:r>
      <w:r>
        <w:rPr>
          <w:rFonts w:hint="default" w:ascii="Arial" w:hAnsi="Arial" w:cs="Arial"/>
          <w:color w:val="auto"/>
          <w:sz w:val="22"/>
          <w:szCs w:val="22"/>
          <w:highlight w:val="none"/>
          <w:lang w:val="en-US" w:eastAsia="zh-CN"/>
        </w:rPr>
        <w:tab/>
      </w:r>
      <w:r>
        <w:rPr>
          <w:rFonts w:hint="eastAsia" w:cs="Arial"/>
          <w:b w:val="0"/>
          <w:bCs/>
          <w:color w:val="auto"/>
          <w:sz w:val="22"/>
          <w:szCs w:val="22"/>
          <w:highlight w:val="none"/>
          <w:lang w:val="en-US" w:eastAsia="zh-CN"/>
        </w:rPr>
        <w:t xml:space="preserve">On PC2 intra-band non-contiguous NR CA </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2"/>
          <w:szCs w:val="22"/>
          <w:highlight w:val="none"/>
          <w:lang w:val="en-US" w:eastAsia="zh-CN"/>
        </w:rPr>
      </w:pPr>
      <w:r>
        <w:rPr>
          <w:rFonts w:hint="default" w:ascii="Arial" w:hAnsi="Arial" w:cs="Arial"/>
          <w:color w:val="auto"/>
          <w:sz w:val="22"/>
          <w:szCs w:val="22"/>
          <w:highlight w:val="none"/>
          <w:lang w:eastAsia="zh-CN"/>
        </w:rPr>
        <w:t>Agenda Item:</w:t>
      </w:r>
      <w:r>
        <w:rPr>
          <w:rFonts w:hint="default" w:ascii="Arial" w:hAnsi="Arial" w:cs="Arial"/>
          <w:color w:val="auto"/>
          <w:sz w:val="22"/>
          <w:szCs w:val="22"/>
          <w:highlight w:val="none"/>
          <w:lang w:eastAsia="zh-CN"/>
        </w:rPr>
        <w:tab/>
      </w:r>
      <w:r>
        <w:rPr>
          <w:rFonts w:hint="eastAsia" w:cs="Arial"/>
          <w:b w:val="0"/>
          <w:bCs/>
          <w:sz w:val="22"/>
          <w:szCs w:val="22"/>
          <w:highlight w:val="none"/>
          <w:lang w:val="en-US" w:eastAsia="zh-CN"/>
        </w:rPr>
        <w:t>8.2.2.5</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highlight w:val="none"/>
          <w:lang w:eastAsia="zh-CN"/>
        </w:rPr>
      </w:pPr>
      <w:r>
        <w:rPr>
          <w:rFonts w:hint="default" w:ascii="Arial" w:hAnsi="Arial" w:cs="Arial"/>
          <w:color w:val="auto"/>
          <w:sz w:val="22"/>
          <w:szCs w:val="22"/>
          <w:highlight w:val="none"/>
          <w:lang w:eastAsia="zh-CN"/>
        </w:rPr>
        <w:t>Document for:</w:t>
      </w:r>
      <w:r>
        <w:rPr>
          <w:rFonts w:hint="default" w:ascii="Arial" w:hAnsi="Arial" w:cs="Arial"/>
          <w:color w:val="auto"/>
          <w:sz w:val="22"/>
          <w:szCs w:val="22"/>
          <w:highlight w:val="none"/>
          <w:lang w:eastAsia="zh-CN"/>
        </w:rPr>
        <w:tab/>
      </w:r>
      <w:r>
        <w:rPr>
          <w:rFonts w:hint="default" w:ascii="Arial" w:hAnsi="Arial" w:eastAsia="宋体" w:cs="Arial"/>
          <w:b w:val="0"/>
          <w:color w:val="auto"/>
          <w:sz w:val="22"/>
          <w:szCs w:val="22"/>
          <w:highlight w:val="none"/>
          <w:lang w:val="en-US" w:eastAsia="zh-CN"/>
        </w:rPr>
        <w:t>Approval</w:t>
      </w:r>
      <w:r>
        <w:rPr>
          <w:rFonts w:hint="default" w:ascii="Arial" w:hAnsi="Arial" w:eastAsia="宋体" w:cs="Arial"/>
          <w:color w:val="auto"/>
          <w:sz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8"/>
          <w:szCs w:val="24"/>
          <w:highlight w:val="none"/>
          <w:lang w:eastAsia="zh-CN"/>
        </w:rPr>
      </w:pPr>
      <w:r>
        <w:rPr>
          <w:rFonts w:hint="default" w:ascii="Arial" w:hAnsi="Arial" w:eastAsia="宋体" w:cs="Arial"/>
          <w:b/>
          <w:color w:val="auto"/>
          <w:sz w:val="28"/>
          <w:szCs w:val="24"/>
          <w:highlight w:val="none"/>
          <w:lang w:val="en-US" w:eastAsia="zh-CN"/>
        </w:rPr>
        <w:t>1</w:t>
      </w:r>
      <w:r>
        <w:rPr>
          <w:rFonts w:hint="default" w:ascii="Arial" w:hAnsi="Arial" w:eastAsia="宋体" w:cs="Arial"/>
          <w:b/>
          <w:color w:val="auto"/>
          <w:sz w:val="28"/>
          <w:szCs w:val="24"/>
          <w:highlight w:val="none"/>
          <w:lang w:val="en-US" w:eastAsia="zh-CN"/>
        </w:rPr>
        <w:tab/>
      </w:r>
      <w:r>
        <w:rPr>
          <w:rFonts w:hint="default" w:ascii="Arial" w:hAnsi="Arial" w:eastAsia="宋体" w:cs="Arial"/>
          <w:b/>
          <w:color w:val="auto"/>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In last RAN4 #98e meeting, two WFs were agreed [1][2] for intra-band non-contiguous NR CA, including RF requirements and MPR related evaluation assumptions. The agreements for the RF requirements in WF[1] is listed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2"/>
          <w:highlight w:val="none"/>
          <w:lang w:val="en-US" w:eastAsia="zh-CN"/>
        </w:rPr>
      </w:pPr>
      <w:r>
        <w:drawing>
          <wp:inline distT="0" distB="0" distL="114300" distR="114300">
            <wp:extent cx="4483735" cy="1464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483735" cy="1464945"/>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2"/>
          <w:highlight w:val="none"/>
          <w:lang w:val="en-US" w:eastAsia="zh-CN"/>
        </w:rPr>
      </w:pPr>
      <w:r>
        <w:drawing>
          <wp:inline distT="0" distB="0" distL="114300" distR="114300">
            <wp:extent cx="4496435" cy="2120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496435" cy="2120265"/>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2"/>
          <w:highlight w:val="none"/>
          <w:lang w:val="en-US" w:eastAsia="zh-CN"/>
        </w:rPr>
      </w:pPr>
      <w:r>
        <w:drawing>
          <wp:inline distT="0" distB="0" distL="114300" distR="114300">
            <wp:extent cx="4432935" cy="19462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432935" cy="1946275"/>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 xml:space="preserve">However, there are still some open issues related to RF requirements, such as Pcmax, IE for Duty cycle based SAR, emission for dual PAs etc.., Therefore, in this contribution, </w:t>
      </w:r>
      <w:r>
        <w:rPr>
          <w:rFonts w:hint="eastAsia" w:ascii="Times New Roman" w:hAnsi="Times New Roman" w:eastAsia="宋体" w:cs="Times New Roman"/>
          <w:i w:val="0"/>
          <w:iCs w:val="0"/>
          <w:color w:val="auto"/>
          <w:sz w:val="20"/>
          <w:szCs w:val="22"/>
          <w:highlight w:val="none"/>
          <w:lang w:val="en-US" w:eastAsia="zh-CN"/>
        </w:rPr>
        <w:t xml:space="preserve"> we give some </w:t>
      </w:r>
      <w:r>
        <w:rPr>
          <w:rFonts w:hint="eastAsia" w:eastAsia="宋体" w:cs="Times New Roman"/>
          <w:i w:val="0"/>
          <w:iCs w:val="0"/>
          <w:color w:val="auto"/>
          <w:sz w:val="20"/>
          <w:szCs w:val="22"/>
          <w:highlight w:val="none"/>
          <w:lang w:val="en-US" w:eastAsia="zh-CN"/>
        </w:rPr>
        <w:t xml:space="preserve">further </w:t>
      </w:r>
      <w:r>
        <w:rPr>
          <w:rFonts w:hint="eastAsia" w:ascii="Times New Roman" w:hAnsi="Times New Roman" w:eastAsia="宋体" w:cs="Times New Roman"/>
          <w:i w:val="0"/>
          <w:iCs w:val="0"/>
          <w:color w:val="auto"/>
          <w:sz w:val="20"/>
          <w:szCs w:val="22"/>
          <w:highlight w:val="none"/>
          <w:lang w:val="en-US" w:eastAsia="zh-CN"/>
        </w:rPr>
        <w:t>discussion</w:t>
      </w:r>
      <w:r>
        <w:rPr>
          <w:rFonts w:hint="eastAsia" w:eastAsia="宋体" w:cs="Times New Roman"/>
          <w:i w:val="0"/>
          <w:iCs w:val="0"/>
          <w:color w:val="auto"/>
          <w:sz w:val="20"/>
          <w:szCs w:val="22"/>
          <w:highlight w:val="none"/>
          <w:lang w:val="en-US" w:eastAsia="zh-CN"/>
        </w:rPr>
        <w:t>s</w:t>
      </w:r>
      <w:r>
        <w:rPr>
          <w:rFonts w:hint="eastAsia" w:ascii="Times New Roman" w:hAnsi="Times New Roman" w:eastAsia="宋体" w:cs="Times New Roman"/>
          <w:i w:val="0"/>
          <w:iCs w:val="0"/>
          <w:color w:val="auto"/>
          <w:sz w:val="20"/>
          <w:szCs w:val="22"/>
          <w:highlight w:val="none"/>
          <w:lang w:val="en-US" w:eastAsia="zh-CN"/>
        </w:rPr>
        <w:t xml:space="preserve"> on the</w:t>
      </w:r>
      <w:r>
        <w:rPr>
          <w:rFonts w:hint="eastAsia" w:eastAsia="宋体" w:cs="Times New Roman"/>
          <w:i w:val="0"/>
          <w:iCs w:val="0"/>
          <w:color w:val="auto"/>
          <w:sz w:val="20"/>
          <w:szCs w:val="22"/>
          <w:highlight w:val="none"/>
          <w:lang w:val="en-US" w:eastAsia="zh-CN"/>
        </w:rPr>
        <w:t xml:space="preserve"> RF requirements for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non-contiguous UL </w:t>
      </w:r>
      <w:r>
        <w:rPr>
          <w:rFonts w:hint="eastAsia" w:ascii="Times New Roman" w:hAnsi="Times New Roman" w:eastAsia="宋体" w:cs="Times New Roman"/>
          <w:i w:val="0"/>
          <w:iCs w:val="0"/>
          <w:color w:val="auto"/>
          <w:sz w:val="20"/>
          <w:szCs w:val="22"/>
          <w:highlight w:val="none"/>
          <w:lang w:val="en-US" w:eastAsia="zh-CN"/>
        </w:rPr>
        <w:t>CA.</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8"/>
          <w:szCs w:val="24"/>
          <w:highlight w:val="none"/>
          <w:lang w:eastAsia="zh-CN"/>
        </w:rPr>
      </w:pPr>
      <w:r>
        <w:rPr>
          <w:rFonts w:hint="default" w:ascii="Arial" w:hAnsi="Arial" w:eastAsia="宋体" w:cs="Arial"/>
          <w:b/>
          <w:color w:val="auto"/>
          <w:sz w:val="28"/>
          <w:szCs w:val="24"/>
          <w:highlight w:val="none"/>
          <w:lang w:val="en-US" w:eastAsia="zh-CN"/>
        </w:rPr>
        <w:t>2</w:t>
      </w:r>
      <w:r>
        <w:rPr>
          <w:rFonts w:hint="default" w:ascii="Arial" w:hAnsi="Arial" w:eastAsia="宋体" w:cs="Arial"/>
          <w:b/>
          <w:color w:val="auto"/>
          <w:sz w:val="28"/>
          <w:szCs w:val="24"/>
          <w:highlight w:val="none"/>
          <w:lang w:val="en-US" w:eastAsia="zh-CN"/>
        </w:rPr>
        <w:tab/>
      </w:r>
      <w:r>
        <w:rPr>
          <w:rFonts w:hint="default" w:ascii="Arial" w:hAnsi="Arial" w:eastAsia="宋体" w:cs="Arial"/>
          <w:b/>
          <w:color w:val="auto"/>
          <w:sz w:val="28"/>
          <w:szCs w:val="24"/>
          <w:highlight w:val="none"/>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According to the discussion in last meeting, and comparing PC2 intra-band non-contiguous CA with intra-band contiguous CA, the discussions are quite similar, where both of them are no need to consider different power class configuration of each CC and same UL/DL configuration and synchronized condition are adopted.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2.1. IE for Duty cycle based SAR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There were three options proposed in [4] in the 1</w:t>
      </w:r>
      <w:r>
        <w:rPr>
          <w:rFonts w:hint="eastAsia" w:eastAsia="宋体" w:cs="Times New Roman"/>
          <w:b w:val="0"/>
          <w:bCs w:val="0"/>
          <w:i w:val="0"/>
          <w:iCs w:val="0"/>
          <w:color w:val="auto"/>
          <w:sz w:val="20"/>
          <w:szCs w:val="22"/>
          <w:highlight w:val="none"/>
          <w:vertAlign w:val="superscript"/>
          <w:lang w:val="en-US" w:eastAsia="zh-CN"/>
        </w:rPr>
        <w:t>st</w:t>
      </w:r>
      <w:r>
        <w:rPr>
          <w:rFonts w:hint="eastAsia" w:eastAsia="宋体" w:cs="Times New Roman"/>
          <w:b w:val="0"/>
          <w:bCs w:val="0"/>
          <w:i w:val="0"/>
          <w:iCs w:val="0"/>
          <w:color w:val="auto"/>
          <w:sz w:val="20"/>
          <w:szCs w:val="22"/>
          <w:highlight w:val="none"/>
          <w:lang w:val="en-US" w:eastAsia="zh-CN"/>
        </w:rPr>
        <w:t xml:space="preserve"> round discussion, however, no further discussion in 2</w:t>
      </w:r>
      <w:r>
        <w:rPr>
          <w:rFonts w:hint="eastAsia" w:eastAsia="宋体" w:cs="Times New Roman"/>
          <w:b w:val="0"/>
          <w:bCs w:val="0"/>
          <w:i w:val="0"/>
          <w:iCs w:val="0"/>
          <w:color w:val="auto"/>
          <w:sz w:val="20"/>
          <w:szCs w:val="22"/>
          <w:highlight w:val="none"/>
          <w:vertAlign w:val="superscript"/>
          <w:lang w:val="en-US" w:eastAsia="zh-CN"/>
        </w:rPr>
        <w:t>nd</w:t>
      </w:r>
      <w:r>
        <w:rPr>
          <w:rFonts w:hint="eastAsia" w:eastAsia="宋体" w:cs="Times New Roman"/>
          <w:b w:val="0"/>
          <w:bCs w:val="0"/>
          <w:i w:val="0"/>
          <w:iCs w:val="0"/>
          <w:color w:val="auto"/>
          <w:sz w:val="20"/>
          <w:szCs w:val="22"/>
          <w:highlight w:val="none"/>
          <w:lang w:val="en-US" w:eastAsia="zh-CN"/>
        </w:rPr>
        <w:t xml:space="preserve"> round.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First we recall the agreements for PC2 intra-band contiguous CA, which was captured in WF[3]. For the capability related to SAR scheme, it is shown as follow:</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Capability of MaxUplinkDutyCycle: Reuse the capability for single carrier case</w:t>
      </w:r>
    </w:p>
    <w:p>
      <w:pPr>
        <w:pStyle w:val="143"/>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val="0"/>
          <w:bCs w:val="0"/>
          <w:i w:val="0"/>
          <w:iCs w:val="0"/>
          <w:color w:val="auto"/>
          <w:kern w:val="0"/>
          <w:sz w:val="20"/>
          <w:szCs w:val="22"/>
          <w:highlight w:val="none"/>
          <w:lang w:val="en-US" w:eastAsia="zh-CN" w:bidi="ar-SA"/>
        </w:rPr>
      </w:pPr>
      <w:r>
        <w:rPr>
          <w:rFonts w:hint="eastAsia" w:ascii="Times New Roman" w:hAnsi="Times New Roman" w:eastAsia="宋体" w:cs="Times New Roman"/>
          <w:b w:val="0"/>
          <w:bCs w:val="0"/>
          <w:i w:val="0"/>
          <w:iCs w:val="0"/>
          <w:color w:val="auto"/>
          <w:kern w:val="0"/>
          <w:sz w:val="20"/>
          <w:szCs w:val="22"/>
          <w:highlight w:val="none"/>
          <w:lang w:val="en-US" w:eastAsia="zh-CN" w:bidi="ar-SA"/>
        </w:rPr>
        <w:t>It is clear that the single carrier capability can be reused for PC2 intra-band contiguous CA, where the PC2</w:t>
      </w:r>
      <w:r>
        <w:rPr>
          <w:rFonts w:hint="eastAsia" w:ascii="Times New Roman" w:hAnsi="Times New Roman" w:cs="Times New Roman"/>
          <w:b w:val="0"/>
          <w:bCs w:val="0"/>
          <w:i w:val="0"/>
          <w:iCs w:val="0"/>
          <w:color w:val="auto"/>
          <w:kern w:val="0"/>
          <w:sz w:val="20"/>
          <w:szCs w:val="22"/>
          <w:highlight w:val="none"/>
          <w:lang w:val="en-US" w:eastAsia="zh-CN" w:bidi="ar-SA"/>
        </w:rPr>
        <w:t xml:space="preserve"> FR1</w:t>
      </w:r>
      <w:r>
        <w:rPr>
          <w:rFonts w:hint="eastAsia" w:ascii="Times New Roman" w:hAnsi="Times New Roman" w:eastAsia="宋体" w:cs="Times New Roman"/>
          <w:b w:val="0"/>
          <w:bCs w:val="0"/>
          <w:i w:val="0"/>
          <w:iCs w:val="0"/>
          <w:color w:val="auto"/>
          <w:kern w:val="0"/>
          <w:sz w:val="20"/>
          <w:szCs w:val="22"/>
          <w:highlight w:val="none"/>
          <w:lang w:val="en-US" w:eastAsia="zh-CN" w:bidi="ar-SA"/>
        </w:rPr>
        <w:t xml:space="preserve"> single carrier capability is defined as the IE </w:t>
      </w:r>
      <w:r>
        <w:rPr>
          <w:rFonts w:hint="eastAsia" w:ascii="Times New Roman" w:hAnsi="Times New Roman" w:eastAsia="宋体" w:cs="Times New Roman"/>
          <w:b w:val="0"/>
          <w:bCs w:val="0"/>
          <w:i/>
          <w:iCs/>
          <w:color w:val="auto"/>
          <w:kern w:val="0"/>
          <w:sz w:val="20"/>
          <w:szCs w:val="22"/>
          <w:highlight w:val="none"/>
          <w:lang w:val="en-US" w:eastAsia="zh-CN" w:bidi="ar-SA"/>
        </w:rPr>
        <w:t>maxUplinkDutyCycle-PC2-FR1</w:t>
      </w:r>
      <w:r>
        <w:rPr>
          <w:rFonts w:hint="eastAsia" w:ascii="Times New Roman" w:hAnsi="Times New Roman" w:cs="Times New Roman"/>
          <w:b w:val="0"/>
          <w:bCs w:val="0"/>
          <w:i w:val="0"/>
          <w:iCs w:val="0"/>
          <w:color w:val="auto"/>
          <w:kern w:val="0"/>
          <w:sz w:val="20"/>
          <w:szCs w:val="22"/>
          <w:highlight w:val="none"/>
          <w:lang w:val="en-US" w:eastAsia="zh-CN" w:bidi="ar-SA"/>
        </w:rPr>
        <w:t xml:space="preserve"> </w:t>
      </w:r>
      <w:r>
        <w:rPr>
          <w:rFonts w:hint="eastAsia" w:ascii="Times New Roman" w:hAnsi="Times New Roman" w:eastAsia="宋体" w:cs="Times New Roman"/>
          <w:b w:val="0"/>
          <w:bCs w:val="0"/>
          <w:i w:val="0"/>
          <w:iCs w:val="0"/>
          <w:color w:val="auto"/>
          <w:kern w:val="0"/>
          <w:sz w:val="20"/>
          <w:szCs w:val="22"/>
          <w:highlight w:val="none"/>
          <w:lang w:val="en-US" w:eastAsia="zh-CN" w:bidi="ar-SA"/>
        </w:rPr>
        <w:t>in</w:t>
      </w:r>
      <w:r>
        <w:rPr>
          <w:rFonts w:hint="eastAsia" w:ascii="Times New Roman" w:hAnsi="Times New Roman" w:cs="Times New Roman"/>
          <w:b w:val="0"/>
          <w:bCs w:val="0"/>
          <w:i w:val="0"/>
          <w:iCs w:val="0"/>
          <w:color w:val="auto"/>
          <w:kern w:val="0"/>
          <w:sz w:val="20"/>
          <w:szCs w:val="22"/>
          <w:highlight w:val="none"/>
          <w:lang w:val="en-US" w:eastAsia="zh-CN" w:bidi="ar-SA"/>
        </w:rPr>
        <w:t xml:space="preserve"> TS38.306.</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color w:val="auto"/>
          <w:sz w:val="20"/>
          <w:szCs w:val="22"/>
          <w:highlight w:val="none"/>
          <w:lang w:val="en-US" w:eastAsia="zh-CN"/>
        </w:rPr>
      </w:pP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keepNext/>
              <w:keepLines/>
              <w:pageBreakBefore w:val="0"/>
              <w:widowControl w:val="0"/>
              <w:kinsoku/>
              <w:wordWrap/>
              <w:overflowPunct/>
              <w:topLinePunct w:val="0"/>
              <w:autoSpaceDE/>
              <w:autoSpaceDN/>
              <w:bidi w:val="0"/>
              <w:adjustRightInd/>
              <w:snapToGrid/>
              <w:textAlignment w:val="auto"/>
              <w:rPr>
                <w:b/>
                <w:bCs/>
                <w:i/>
                <w:iCs/>
                <w:color w:val="auto"/>
              </w:rPr>
            </w:pPr>
            <w:r>
              <w:rPr>
                <w:b/>
                <w:bCs/>
                <w:i/>
                <w:iCs/>
                <w:color w:val="auto"/>
              </w:rPr>
              <w:t>maxUplinkDutyCycle-PC2-FR1</w:t>
            </w:r>
          </w:p>
          <w:p>
            <w:pPr>
              <w:pStyle w:val="143"/>
              <w:keepNext/>
              <w:keepLines/>
              <w:pageBreakBefore w:val="0"/>
              <w:widowControl w:val="0"/>
              <w:kinsoku/>
              <w:wordWrap/>
              <w:overflowPunct/>
              <w:topLinePunct w:val="0"/>
              <w:autoSpaceDE/>
              <w:autoSpaceDN/>
              <w:bidi w:val="0"/>
              <w:adjustRightInd/>
              <w:snapToGrid/>
              <w:textAlignment w:val="auto"/>
              <w:rPr>
                <w:bCs/>
                <w:iCs/>
                <w:color w:val="auto"/>
              </w:rPr>
            </w:pPr>
            <w:r>
              <w:rPr>
                <w:bCs/>
                <w:iCs/>
                <w:color w:val="auto"/>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pPr>
              <w:pStyle w:val="143"/>
              <w:keepNext/>
              <w:keepLines/>
              <w:pageBreakBefore w:val="0"/>
              <w:widowControl w:val="0"/>
              <w:kinsoku/>
              <w:wordWrap/>
              <w:overflowPunct/>
              <w:topLinePunct w:val="0"/>
              <w:autoSpaceDE/>
              <w:autoSpaceDN/>
              <w:bidi w:val="0"/>
              <w:adjustRightInd/>
              <w:snapToGrid/>
              <w:jc w:val="center"/>
              <w:textAlignment w:val="auto"/>
              <w:rPr>
                <w:bCs/>
                <w:iCs/>
                <w:color w:val="auto"/>
              </w:rPr>
            </w:pPr>
            <w:r>
              <w:rPr>
                <w:bCs/>
                <w:iCs/>
                <w:color w:val="auto"/>
              </w:rPr>
              <w:t>Band</w:t>
            </w:r>
          </w:p>
        </w:tc>
        <w:tc>
          <w:tcPr>
            <w:tcW w:w="567" w:type="dxa"/>
          </w:tcPr>
          <w:p>
            <w:pPr>
              <w:pStyle w:val="143"/>
              <w:keepNext/>
              <w:keepLines/>
              <w:pageBreakBefore w:val="0"/>
              <w:widowControl w:val="0"/>
              <w:kinsoku/>
              <w:wordWrap/>
              <w:overflowPunct/>
              <w:topLinePunct w:val="0"/>
              <w:autoSpaceDE/>
              <w:autoSpaceDN/>
              <w:bidi w:val="0"/>
              <w:adjustRightInd/>
              <w:snapToGrid/>
              <w:jc w:val="center"/>
              <w:textAlignment w:val="auto"/>
              <w:rPr>
                <w:bCs/>
                <w:iCs/>
                <w:color w:val="auto"/>
              </w:rPr>
            </w:pPr>
            <w:r>
              <w:rPr>
                <w:bCs/>
                <w:iCs/>
                <w:color w:val="auto"/>
              </w:rPr>
              <w:t>No</w:t>
            </w:r>
          </w:p>
        </w:tc>
        <w:tc>
          <w:tcPr>
            <w:tcW w:w="709" w:type="dxa"/>
          </w:tcPr>
          <w:p>
            <w:pPr>
              <w:pStyle w:val="143"/>
              <w:keepNext/>
              <w:keepLines/>
              <w:pageBreakBefore w:val="0"/>
              <w:widowControl w:val="0"/>
              <w:kinsoku/>
              <w:wordWrap/>
              <w:overflowPunct/>
              <w:topLinePunct w:val="0"/>
              <w:autoSpaceDE/>
              <w:autoSpaceDN/>
              <w:bidi w:val="0"/>
              <w:adjustRightInd/>
              <w:snapToGrid/>
              <w:jc w:val="center"/>
              <w:textAlignment w:val="auto"/>
              <w:rPr>
                <w:bCs/>
                <w:iCs/>
                <w:color w:val="auto"/>
              </w:rPr>
            </w:pPr>
            <w:r>
              <w:rPr>
                <w:bCs/>
                <w:iCs/>
                <w:color w:val="auto"/>
              </w:rPr>
              <w:t>N/A</w:t>
            </w:r>
          </w:p>
        </w:tc>
        <w:tc>
          <w:tcPr>
            <w:tcW w:w="728" w:type="dxa"/>
          </w:tcPr>
          <w:p>
            <w:pPr>
              <w:pStyle w:val="143"/>
              <w:keepNext/>
              <w:keepLines/>
              <w:pageBreakBefore w:val="0"/>
              <w:widowControl w:val="0"/>
              <w:kinsoku/>
              <w:wordWrap/>
              <w:overflowPunct/>
              <w:topLinePunct w:val="0"/>
              <w:autoSpaceDE/>
              <w:autoSpaceDN/>
              <w:bidi w:val="0"/>
              <w:adjustRightInd/>
              <w:snapToGrid/>
              <w:jc w:val="center"/>
              <w:textAlignment w:val="auto"/>
              <w:rPr>
                <w:color w:val="auto"/>
              </w:rPr>
            </w:pPr>
            <w:r>
              <w:rPr>
                <w:color w:val="auto"/>
              </w:rPr>
              <w:t>FR1 only</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color w:val="auto"/>
          <w:sz w:val="20"/>
          <w:szCs w:val="22"/>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 xml:space="preserve">It was agreed in the WF that re-use the contiguous ULCA handling of MaxUplinkDutyCycle, therefore </w:t>
      </w:r>
      <w:r>
        <w:rPr>
          <w:rFonts w:hint="eastAsia" w:eastAsia="宋体" w:cs="Times New Roman"/>
          <w:i w:val="0"/>
          <w:iCs w:val="0"/>
          <w:color w:val="auto"/>
          <w:sz w:val="20"/>
          <w:szCs w:val="22"/>
          <w:highlight w:val="none"/>
          <w:lang w:val="en-US" w:eastAsia="zh-CN"/>
        </w:rPr>
        <w:t xml:space="preserve">the capability for single carrier case can also be applied for PC2 </w:t>
      </w:r>
      <w:r>
        <w:rPr>
          <w:rFonts w:hint="eastAsia" w:eastAsia="宋体" w:cs="Times New Roman"/>
          <w:b w:val="0"/>
          <w:bCs w:val="0"/>
          <w:i w:val="0"/>
          <w:iCs w:val="0"/>
          <w:color w:val="auto"/>
          <w:sz w:val="20"/>
          <w:szCs w:val="22"/>
          <w:highlight w:val="none"/>
          <w:lang w:val="en-US" w:eastAsia="zh-CN"/>
        </w:rPr>
        <w:t xml:space="preserve">intra-band non-contiguous CA. Given that same IE as single carrier was adopted and no new IE will be introduced for </w:t>
      </w:r>
      <w:r>
        <w:rPr>
          <w:rFonts w:hint="eastAsia" w:eastAsia="宋体" w:cs="Times New Roman"/>
          <w:i w:val="0"/>
          <w:iCs w:val="0"/>
          <w:color w:val="auto"/>
          <w:sz w:val="20"/>
          <w:szCs w:val="22"/>
          <w:highlight w:val="none"/>
          <w:lang w:val="en-US" w:eastAsia="zh-CN"/>
        </w:rPr>
        <w:t xml:space="preserve">PC2 </w:t>
      </w:r>
      <w:r>
        <w:rPr>
          <w:rFonts w:hint="eastAsia" w:eastAsia="宋体" w:cs="Times New Roman"/>
          <w:b w:val="0"/>
          <w:bCs w:val="0"/>
          <w:i w:val="0"/>
          <w:iCs w:val="0"/>
          <w:color w:val="auto"/>
          <w:sz w:val="20"/>
          <w:szCs w:val="22"/>
          <w:highlight w:val="none"/>
          <w:lang w:val="en-US" w:eastAsia="zh-CN"/>
        </w:rPr>
        <w:t>intra-band contiguous CA, from this perspective, actually option 1 and option 3 are the same meant.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Proposal 1:  </w:t>
      </w:r>
      <w:r>
        <w:rPr>
          <w:rFonts w:hint="default" w:eastAsia="宋体" w:cs="Times New Roman"/>
          <w:b/>
          <w:bCs/>
          <w:i w:val="0"/>
          <w:iCs w:val="0"/>
          <w:color w:val="auto"/>
          <w:sz w:val="20"/>
          <w:szCs w:val="22"/>
          <w:highlight w:val="none"/>
          <w:lang w:val="en-US" w:eastAsia="zh-CN"/>
        </w:rPr>
        <w:t>Use the single CC parameter</w:t>
      </w:r>
      <w:r>
        <w:rPr>
          <w:rFonts w:hint="eastAsia" w:eastAsia="宋体" w:cs="Times New Roman"/>
          <w:b/>
          <w:bCs/>
          <w:i w:val="0"/>
          <w:iCs w:val="0"/>
          <w:color w:val="auto"/>
          <w:sz w:val="20"/>
          <w:szCs w:val="22"/>
          <w:highlight w:val="none"/>
          <w:lang w:val="en-US" w:eastAsia="zh-CN"/>
        </w:rPr>
        <w:t xml:space="preserve"> for the capability of MaxUplinkDutyCycle for PC2 intra-band contiguous CA.</w:t>
      </w:r>
      <w:r>
        <w:rPr>
          <w:rFonts w:hint="eastAsia" w:eastAsia="宋体" w:cs="Times New Roman"/>
          <w:i w:val="0"/>
          <w:iCs w:val="0"/>
          <w:color w:val="auto"/>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color w:val="auto"/>
          <w:kern w:val="0"/>
          <w:sz w:val="20"/>
          <w:szCs w:val="22"/>
          <w:highlight w:val="none"/>
          <w:lang w:val="en-US" w:eastAsia="zh-CN" w:bidi="ar-SA"/>
        </w:rPr>
      </w:pPr>
      <w:r>
        <w:rPr>
          <w:rFonts w:hint="eastAsia" w:eastAsia="宋体" w:cs="Times New Roman"/>
          <w:b w:val="0"/>
          <w:bCs w:val="0"/>
          <w:i w:val="0"/>
          <w:iCs w:val="0"/>
          <w:color w:val="auto"/>
          <w:sz w:val="20"/>
          <w:szCs w:val="22"/>
          <w:highlight w:val="none"/>
          <w:lang w:val="en-US" w:eastAsia="zh-CN"/>
        </w:rPr>
        <w:t>How to reflect the capability in RAN4 spec can be postponed, waiting for the consensus of other RF requirements such as MPR, are completed, then a big CR to introduce PC2 intra-band non-contiguous is recommended. Also a LS to RAN2 may be needed to inform the RAN4</w:t>
      </w:r>
      <w:r>
        <w:rPr>
          <w:rFonts w:hint="default" w:eastAsia="宋体" w:cs="Times New Roman"/>
          <w:b w:val="0"/>
          <w:bCs w:val="0"/>
          <w:i w:val="0"/>
          <w:iCs w:val="0"/>
          <w:color w:val="auto"/>
          <w:sz w:val="20"/>
          <w:szCs w:val="22"/>
          <w:highlight w:val="none"/>
          <w:lang w:val="en-US" w:eastAsia="zh-CN"/>
        </w:rPr>
        <w:t>’</w:t>
      </w:r>
      <w:r>
        <w:rPr>
          <w:rFonts w:hint="eastAsia" w:eastAsia="宋体" w:cs="Times New Roman"/>
          <w:b w:val="0"/>
          <w:bCs w:val="0"/>
          <w:i w:val="0"/>
          <w:iCs w:val="0"/>
          <w:color w:val="auto"/>
          <w:sz w:val="20"/>
          <w:szCs w:val="22"/>
          <w:highlight w:val="none"/>
          <w:lang w:val="en-US" w:eastAsia="zh-CN"/>
        </w:rPr>
        <w:t xml:space="preserve">s consensus for the capability, in this way RAN2 can adopt the further action such as CR to </w:t>
      </w:r>
      <w:r>
        <w:rPr>
          <w:rFonts w:hint="eastAsia" w:ascii="Times New Roman" w:hAnsi="Times New Roman" w:eastAsia="宋体" w:cs="Times New Roman"/>
          <w:b w:val="0"/>
          <w:bCs w:val="0"/>
          <w:i w:val="0"/>
          <w:iCs w:val="0"/>
          <w:color w:val="auto"/>
          <w:kern w:val="0"/>
          <w:sz w:val="20"/>
          <w:szCs w:val="22"/>
          <w:highlight w:val="none"/>
          <w:lang w:val="en-US" w:eastAsia="zh-CN" w:bidi="ar-SA"/>
        </w:rPr>
        <w:t>maxUplinkDutyCycle-PC2-FR1</w:t>
      </w:r>
      <w:r>
        <w:rPr>
          <w:rFonts w:hint="eastAsia" w:eastAsia="宋体" w:cs="Times New Roman"/>
          <w:b w:val="0"/>
          <w:bCs w:val="0"/>
          <w:i w:val="0"/>
          <w:iCs w:val="0"/>
          <w:color w:val="auto"/>
          <w:kern w:val="0"/>
          <w:sz w:val="20"/>
          <w:szCs w:val="22"/>
          <w:highlight w:val="none"/>
          <w:lang w:val="en-US" w:eastAsia="zh-CN" w:bidi="ar-SA"/>
        </w:rPr>
        <w:t xml:space="preserve"> for </w:t>
      </w:r>
      <w:r>
        <w:rPr>
          <w:rFonts w:hint="eastAsia" w:eastAsia="宋体" w:cs="Times New Roman"/>
          <w:b w:val="0"/>
          <w:bCs w:val="0"/>
          <w:i w:val="0"/>
          <w:iCs w:val="0"/>
          <w:color w:val="auto"/>
          <w:sz w:val="20"/>
          <w:szCs w:val="22"/>
          <w:highlight w:val="none"/>
          <w:lang w:val="en-US" w:eastAsia="zh-CN"/>
        </w:rPr>
        <w:t>TS38.306 to include the PC2 intra-band CA cases.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2.2. Configuration output power (Pcmax)</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 xml:space="preserve">Actually it was agreed to adopt same Pcmax from NC UL CA for PC3 in last meeting. However, this bullet was deleted  in the WF in the last minute due to one company commented it very late. The main concerns maybe that the discussions/evaluations for MPR requirements for PC2 NC UL CA are underway, which means some texts/parameters of PC3 may need to be changed.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 xml:space="preserve">We think the above concerns can be easily solved in the big CR when MPR requirements are completed. However, we still think it is reasonable to adopt the same Pcmax from NC UL CA for PC3.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Proposal 2: </w:t>
      </w:r>
      <w:r>
        <w:rPr>
          <w:rFonts w:hint="default" w:eastAsia="宋体" w:cs="Times New Roman"/>
          <w:b/>
          <w:bCs/>
          <w:i w:val="0"/>
          <w:iCs w:val="0"/>
          <w:color w:val="auto"/>
          <w:sz w:val="20"/>
          <w:szCs w:val="22"/>
          <w:highlight w:val="none"/>
          <w:lang w:val="en-US" w:eastAsia="zh-CN"/>
        </w:rPr>
        <w:t>Pcmax: re-use Pcmax from PC3 intra-band NC UL CA:</w:t>
      </w:r>
    </w:p>
    <w:p>
      <w:pPr>
        <w:keepNext/>
        <w:keepLines/>
        <w:pageBreakBefore w:val="0"/>
        <w:widowControl w:val="0"/>
        <w:numPr>
          <w:ilvl w:val="0"/>
          <w:numId w:val="0"/>
        </w:numPr>
        <w:kinsoku/>
        <w:wordWrap/>
        <w:overflowPunct/>
        <w:topLinePunct w:val="0"/>
        <w:autoSpaceDE/>
        <w:autoSpaceDN/>
        <w:bidi w:val="0"/>
        <w:adjustRightInd/>
        <w:snapToGrid/>
        <w:spacing w:after="120"/>
        <w:ind w:firstLine="1205" w:firstLineChars="60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 </w:t>
      </w:r>
      <w:r>
        <w:rPr>
          <w:rFonts w:hint="default" w:eastAsia="宋体" w:cs="Times New Roman"/>
          <w:b/>
          <w:bCs/>
          <w:i w:val="0"/>
          <w:iCs w:val="0"/>
          <w:color w:val="auto"/>
          <w:sz w:val="20"/>
          <w:szCs w:val="22"/>
          <w:highlight w:val="none"/>
          <w:lang w:val="en-US" w:eastAsia="zh-CN"/>
        </w:rPr>
        <w:t>Changes to 38.101-1, if any, are FFS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2.3. Emission for dual PA implementation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 xml:space="preserve">The issue is related to MPR evaluation assumptions and scenarios, which were included in WF [2], where dual PA RF architecture </w:t>
      </w:r>
      <w:r>
        <w:rPr>
          <w:rFonts w:hint="eastAsia" w:ascii="Times New Roman" w:hAnsi="Times New Roman" w:eastAsia="宋体" w:cs="Times New Roman"/>
          <w:b w:val="0"/>
          <w:bCs w:val="0"/>
          <w:i w:val="0"/>
          <w:iCs w:val="0"/>
          <w:sz w:val="20"/>
          <w:szCs w:val="20"/>
          <w:highlight w:val="none"/>
          <w:lang w:val="en-US" w:eastAsia="zh-CN"/>
        </w:rPr>
        <w:t xml:space="preserve">implementation </w:t>
      </w:r>
      <w:r>
        <w:rPr>
          <w:rFonts w:hint="eastAsia" w:eastAsia="宋体" w:cs="Times New Roman"/>
          <w:b w:val="0"/>
          <w:bCs w:val="0"/>
          <w:i w:val="0"/>
          <w:iCs w:val="0"/>
          <w:color w:val="auto"/>
          <w:sz w:val="20"/>
          <w:szCs w:val="22"/>
          <w:highlight w:val="none"/>
          <w:lang w:val="en-US" w:eastAsia="zh-CN"/>
        </w:rPr>
        <w:t>is considered. In this case, it should discuss how to define the emission considering it is important for MPR evaluation.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 xml:space="preserve">It should be noted same issue was also discussed for PC2 inter-band contiguous CA in the last meeting, the agreements are included in the WF[5], which is: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iCs/>
          <w:color w:val="auto"/>
          <w:sz w:val="20"/>
          <w:szCs w:val="22"/>
          <w:highlight w:val="none"/>
          <w:lang w:val="en-US" w:eastAsia="zh-CN"/>
        </w:rPr>
      </w:pPr>
      <w:r>
        <w:rPr>
          <w:rFonts w:hint="default" w:eastAsia="宋体" w:cs="Times New Roman"/>
          <w:b w:val="0"/>
          <w:bCs w:val="0"/>
          <w:i/>
          <w:iCs/>
          <w:color w:val="auto"/>
          <w:sz w:val="20"/>
          <w:szCs w:val="22"/>
          <w:highlight w:val="none"/>
          <w:lang w:val="en-US" w:eastAsia="zh-CN"/>
        </w:rPr>
        <w:t>For PC2 intra-band UL contiguous CA with 2PA architecture, the emission requirement is defined as the sum from both UE transmit antenna connectors.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It is proposed that the same approach as inter-band contiguous CA applies to inter-band non-contiguous CA in the case of dual PA architecture implementation.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Proposal 3:</w:t>
      </w:r>
      <w:r>
        <w:rPr>
          <w:rFonts w:hint="default" w:eastAsia="宋体" w:cs="Times New Roman"/>
          <w:b/>
          <w:bCs/>
          <w:i w:val="0"/>
          <w:iCs w:val="0"/>
          <w:color w:val="auto"/>
          <w:sz w:val="20"/>
          <w:szCs w:val="22"/>
          <w:highlight w:val="none"/>
          <w:lang w:val="en-US" w:eastAsia="zh-CN"/>
        </w:rPr>
        <w:t>For PC2 intra-band UL</w:t>
      </w:r>
      <w:r>
        <w:rPr>
          <w:rFonts w:hint="eastAsia" w:eastAsia="宋体" w:cs="Times New Roman"/>
          <w:b/>
          <w:bCs/>
          <w:i w:val="0"/>
          <w:iCs w:val="0"/>
          <w:color w:val="auto"/>
          <w:sz w:val="20"/>
          <w:szCs w:val="22"/>
          <w:highlight w:val="none"/>
          <w:lang w:val="en-US" w:eastAsia="zh-CN"/>
        </w:rPr>
        <w:t xml:space="preserve"> non-</w:t>
      </w:r>
      <w:r>
        <w:rPr>
          <w:rFonts w:hint="default" w:eastAsia="宋体" w:cs="Times New Roman"/>
          <w:b/>
          <w:bCs/>
          <w:i w:val="0"/>
          <w:iCs w:val="0"/>
          <w:color w:val="auto"/>
          <w:sz w:val="20"/>
          <w:szCs w:val="22"/>
          <w:highlight w:val="none"/>
          <w:lang w:val="en-US" w:eastAsia="zh-CN"/>
        </w:rPr>
        <w:t>contiguous CA with 2PA architecture, the emission requirement is defined as the sum from both UE transmit antenna connectors.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8"/>
          <w:szCs w:val="24"/>
          <w:highlight w:val="none"/>
          <w:lang w:val="en-US" w:eastAsia="zh-CN"/>
        </w:rPr>
      </w:pPr>
      <w:r>
        <w:rPr>
          <w:rFonts w:hint="eastAsia" w:ascii="Arial" w:hAnsi="Arial" w:eastAsia="宋体" w:cs="Arial"/>
          <w:b/>
          <w:color w:val="auto"/>
          <w:sz w:val="28"/>
          <w:szCs w:val="24"/>
          <w:highlight w:val="none"/>
          <w:lang w:val="en-US" w:eastAsia="zh-CN"/>
        </w:rPr>
        <w:t>3</w:t>
      </w:r>
      <w:r>
        <w:rPr>
          <w:rFonts w:hint="default" w:ascii="Arial" w:hAnsi="Arial" w:eastAsia="宋体" w:cs="Arial"/>
          <w:b/>
          <w:color w:val="auto"/>
          <w:sz w:val="28"/>
          <w:szCs w:val="24"/>
          <w:highlight w:val="none"/>
          <w:lang w:val="en-US" w:eastAsia="zh-CN"/>
        </w:rPr>
        <w:tab/>
      </w:r>
      <w:r>
        <w:rPr>
          <w:rFonts w:hint="eastAsia" w:ascii="Arial" w:hAnsi="Arial" w:eastAsia="宋体" w:cs="Arial"/>
          <w:b/>
          <w:color w:val="auto"/>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color w:val="auto"/>
          <w:sz w:val="20"/>
          <w:szCs w:val="22"/>
          <w:highlight w:val="none"/>
          <w:lang w:val="en-US" w:eastAsia="zh-CN"/>
        </w:rPr>
      </w:pPr>
      <w:r>
        <w:rPr>
          <w:rFonts w:hint="eastAsia" w:ascii="Times New Roman" w:hAnsi="Times New Roman" w:eastAsia="宋体" w:cs="Times New Roman"/>
          <w:color w:val="auto"/>
          <w:sz w:val="20"/>
          <w:szCs w:val="22"/>
          <w:highlight w:val="none"/>
          <w:lang w:val="en-US" w:eastAsia="zh-CN"/>
        </w:rPr>
        <w:t xml:space="preserve">In this paper, </w:t>
      </w:r>
      <w:r>
        <w:rPr>
          <w:rFonts w:hint="eastAsia" w:ascii="Times New Roman" w:hAnsi="Times New Roman" w:eastAsia="宋体" w:cs="Times New Roman"/>
          <w:i w:val="0"/>
          <w:iCs w:val="0"/>
          <w:color w:val="auto"/>
          <w:sz w:val="20"/>
          <w:szCs w:val="22"/>
          <w:highlight w:val="none"/>
          <w:lang w:val="en-US" w:eastAsia="zh-CN"/>
        </w:rPr>
        <w:t xml:space="preserve"> we give some </w:t>
      </w:r>
      <w:r>
        <w:rPr>
          <w:rFonts w:hint="eastAsia" w:eastAsia="宋体" w:cs="Times New Roman"/>
          <w:i w:val="0"/>
          <w:iCs w:val="0"/>
          <w:color w:val="auto"/>
          <w:sz w:val="20"/>
          <w:szCs w:val="22"/>
          <w:highlight w:val="none"/>
          <w:lang w:val="en-US" w:eastAsia="zh-CN"/>
        </w:rPr>
        <w:t xml:space="preserve">further </w:t>
      </w:r>
      <w:r>
        <w:rPr>
          <w:rFonts w:hint="eastAsia" w:ascii="Times New Roman" w:hAnsi="Times New Roman" w:eastAsia="宋体" w:cs="Times New Roman"/>
          <w:i w:val="0"/>
          <w:iCs w:val="0"/>
          <w:color w:val="auto"/>
          <w:sz w:val="20"/>
          <w:szCs w:val="22"/>
          <w:highlight w:val="none"/>
          <w:lang w:val="en-US" w:eastAsia="zh-CN"/>
        </w:rPr>
        <w:t>discussion</w:t>
      </w:r>
      <w:r>
        <w:rPr>
          <w:rFonts w:hint="eastAsia" w:eastAsia="宋体" w:cs="Times New Roman"/>
          <w:i w:val="0"/>
          <w:iCs w:val="0"/>
          <w:color w:val="auto"/>
          <w:sz w:val="20"/>
          <w:szCs w:val="22"/>
          <w:highlight w:val="none"/>
          <w:lang w:val="en-US" w:eastAsia="zh-CN"/>
        </w:rPr>
        <w:t>s</w:t>
      </w:r>
      <w:r>
        <w:rPr>
          <w:rFonts w:hint="eastAsia" w:ascii="Times New Roman" w:hAnsi="Times New Roman" w:eastAsia="宋体" w:cs="Times New Roman"/>
          <w:i w:val="0"/>
          <w:iCs w:val="0"/>
          <w:color w:val="auto"/>
          <w:sz w:val="20"/>
          <w:szCs w:val="22"/>
          <w:highlight w:val="none"/>
          <w:lang w:val="en-US" w:eastAsia="zh-CN"/>
        </w:rPr>
        <w:t xml:space="preserve"> on the</w:t>
      </w:r>
      <w:r>
        <w:rPr>
          <w:rFonts w:hint="eastAsia" w:eastAsia="宋体" w:cs="Times New Roman"/>
          <w:i w:val="0"/>
          <w:iCs w:val="0"/>
          <w:color w:val="auto"/>
          <w:sz w:val="20"/>
          <w:szCs w:val="22"/>
          <w:highlight w:val="none"/>
          <w:lang w:val="en-US" w:eastAsia="zh-CN"/>
        </w:rPr>
        <w:t xml:space="preserve"> RF requirements for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non-contiguous UL </w:t>
      </w:r>
      <w:r>
        <w:rPr>
          <w:rFonts w:hint="eastAsia" w:ascii="Times New Roman" w:hAnsi="Times New Roman" w:eastAsia="宋体" w:cs="Times New Roman"/>
          <w:i w:val="0"/>
          <w:iCs w:val="0"/>
          <w:color w:val="auto"/>
          <w:sz w:val="20"/>
          <w:szCs w:val="22"/>
          <w:highlight w:val="none"/>
          <w:lang w:val="en-US" w:eastAsia="zh-CN"/>
        </w:rPr>
        <w:t>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Proposal 1:  </w:t>
      </w:r>
      <w:r>
        <w:rPr>
          <w:rFonts w:hint="default" w:eastAsia="宋体" w:cs="Times New Roman"/>
          <w:b/>
          <w:bCs/>
          <w:i w:val="0"/>
          <w:iCs w:val="0"/>
          <w:color w:val="auto"/>
          <w:sz w:val="20"/>
          <w:szCs w:val="22"/>
          <w:highlight w:val="none"/>
          <w:lang w:val="en-US" w:eastAsia="zh-CN"/>
        </w:rPr>
        <w:t>Use the single CC parameter</w:t>
      </w:r>
      <w:r>
        <w:rPr>
          <w:rFonts w:hint="eastAsia" w:eastAsia="宋体" w:cs="Times New Roman"/>
          <w:b/>
          <w:bCs/>
          <w:i w:val="0"/>
          <w:iCs w:val="0"/>
          <w:color w:val="auto"/>
          <w:sz w:val="20"/>
          <w:szCs w:val="22"/>
          <w:highlight w:val="none"/>
          <w:lang w:val="en-US" w:eastAsia="zh-CN"/>
        </w:rPr>
        <w:t xml:space="preserve"> for the capability of MaxUplinkDutyCycle for PC2 intra-band contiguous CA.</w:t>
      </w:r>
      <w:r>
        <w:rPr>
          <w:rFonts w:hint="eastAsia" w:eastAsia="宋体" w:cs="Times New Roman"/>
          <w:i w:val="0"/>
          <w:iCs w:val="0"/>
          <w:color w:val="auto"/>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Proposal 2: </w:t>
      </w:r>
      <w:r>
        <w:rPr>
          <w:rFonts w:hint="default" w:eastAsia="宋体" w:cs="Times New Roman"/>
          <w:b/>
          <w:bCs/>
          <w:i w:val="0"/>
          <w:iCs w:val="0"/>
          <w:color w:val="auto"/>
          <w:sz w:val="20"/>
          <w:szCs w:val="22"/>
          <w:highlight w:val="none"/>
          <w:lang w:val="en-US" w:eastAsia="zh-CN"/>
        </w:rPr>
        <w:t>Pcmax: re-use Pcmax from PC3 intra-band NC UL CA:</w:t>
      </w:r>
    </w:p>
    <w:p>
      <w:pPr>
        <w:keepNext/>
        <w:keepLines/>
        <w:pageBreakBefore w:val="0"/>
        <w:widowControl w:val="0"/>
        <w:numPr>
          <w:ilvl w:val="0"/>
          <w:numId w:val="0"/>
        </w:numPr>
        <w:kinsoku/>
        <w:wordWrap/>
        <w:overflowPunct/>
        <w:topLinePunct w:val="0"/>
        <w:autoSpaceDE/>
        <w:autoSpaceDN/>
        <w:bidi w:val="0"/>
        <w:adjustRightInd/>
        <w:snapToGrid/>
        <w:spacing w:after="120"/>
        <w:ind w:firstLine="1205" w:firstLineChars="600"/>
        <w:textAlignment w:val="auto"/>
        <w:outlineLvl w:val="9"/>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 xml:space="preserve">- </w:t>
      </w:r>
      <w:r>
        <w:rPr>
          <w:rFonts w:hint="default" w:eastAsia="宋体" w:cs="Times New Roman"/>
          <w:b/>
          <w:bCs/>
          <w:i w:val="0"/>
          <w:iCs w:val="0"/>
          <w:color w:val="auto"/>
          <w:sz w:val="20"/>
          <w:szCs w:val="22"/>
          <w:highlight w:val="none"/>
          <w:lang w:val="en-US" w:eastAsia="zh-CN"/>
        </w:rPr>
        <w:t>Changes to 38.101-1, if any, are FFS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Proposal 3:</w:t>
      </w:r>
      <w:r>
        <w:rPr>
          <w:rFonts w:hint="default" w:eastAsia="宋体" w:cs="Times New Roman"/>
          <w:b/>
          <w:bCs/>
          <w:i w:val="0"/>
          <w:iCs w:val="0"/>
          <w:color w:val="auto"/>
          <w:sz w:val="20"/>
          <w:szCs w:val="22"/>
          <w:highlight w:val="none"/>
          <w:lang w:val="en-US" w:eastAsia="zh-CN"/>
        </w:rPr>
        <w:t>For PC2 intra-band UL</w:t>
      </w:r>
      <w:r>
        <w:rPr>
          <w:rFonts w:hint="eastAsia" w:eastAsia="宋体" w:cs="Times New Roman"/>
          <w:b/>
          <w:bCs/>
          <w:i w:val="0"/>
          <w:iCs w:val="0"/>
          <w:color w:val="auto"/>
          <w:sz w:val="20"/>
          <w:szCs w:val="22"/>
          <w:highlight w:val="none"/>
          <w:lang w:val="en-US" w:eastAsia="zh-CN"/>
        </w:rPr>
        <w:t xml:space="preserve"> non-</w:t>
      </w:r>
      <w:r>
        <w:rPr>
          <w:rFonts w:hint="default" w:eastAsia="宋体" w:cs="Times New Roman"/>
          <w:b/>
          <w:bCs/>
          <w:i w:val="0"/>
          <w:iCs w:val="0"/>
          <w:color w:val="auto"/>
          <w:sz w:val="20"/>
          <w:szCs w:val="22"/>
          <w:highlight w:val="none"/>
          <w:lang w:val="en-US" w:eastAsia="zh-CN"/>
        </w:rPr>
        <w:t>contiguous CA with 2PA architecture, the emission requirement is defined as the sum from both UE transmit antenna connectors.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8"/>
          <w:szCs w:val="24"/>
          <w:highlight w:val="none"/>
          <w:lang w:val="en-US" w:eastAsia="zh-CN"/>
        </w:rPr>
      </w:pPr>
      <w:r>
        <w:rPr>
          <w:rFonts w:hint="eastAsia" w:eastAsia="宋体" w:cs="Arial"/>
          <w:b/>
          <w:color w:val="auto"/>
          <w:sz w:val="28"/>
          <w:szCs w:val="24"/>
          <w:highlight w:val="none"/>
          <w:lang w:val="en-US" w:eastAsia="zh-CN"/>
        </w:rPr>
        <w:t>4</w:t>
      </w:r>
      <w:r>
        <w:rPr>
          <w:rFonts w:hint="default" w:ascii="Arial" w:hAnsi="Arial" w:eastAsia="宋体" w:cs="Arial"/>
          <w:b/>
          <w:color w:val="auto"/>
          <w:sz w:val="28"/>
          <w:szCs w:val="24"/>
          <w:highlight w:val="none"/>
          <w:lang w:val="en-US" w:eastAsia="zh-CN"/>
        </w:rPr>
        <w:tab/>
      </w:r>
      <w:r>
        <w:rPr>
          <w:rFonts w:hint="default" w:ascii="Arial" w:hAnsi="Arial" w:eastAsia="宋体" w:cs="Arial"/>
          <w:b/>
          <w:color w:val="auto"/>
          <w:sz w:val="28"/>
          <w:szCs w:val="24"/>
          <w:highlight w:val="none"/>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 xml:space="preserve">[1] </w:t>
      </w:r>
      <w:r>
        <w:rPr>
          <w:rFonts w:hint="default" w:eastAsia="宋体" w:cs="Times New Roman"/>
          <w:b w:val="0"/>
          <w:bCs w:val="0"/>
          <w:color w:val="auto"/>
          <w:sz w:val="20"/>
          <w:szCs w:val="20"/>
          <w:highlight w:val="none"/>
          <w:vertAlign w:val="baseline"/>
          <w:lang w:val="en-US" w:eastAsia="zh-CN"/>
        </w:rPr>
        <w:t>R4-2103238</w:t>
      </w:r>
      <w:r>
        <w:rPr>
          <w:rFonts w:hint="eastAsia" w:eastAsia="宋体" w:cs="Times New Roman"/>
          <w:b w:val="0"/>
          <w:bCs w:val="0"/>
          <w:color w:val="auto"/>
          <w:sz w:val="20"/>
          <w:szCs w:val="20"/>
          <w:highlight w:val="none"/>
          <w:vertAlign w:val="baseline"/>
          <w:lang w:val="en-US" w:eastAsia="zh-CN"/>
        </w:rPr>
        <w:t xml:space="preserve">, </w:t>
      </w:r>
      <w:r>
        <w:rPr>
          <w:rFonts w:hint="default" w:eastAsia="宋体" w:cs="Times New Roman"/>
          <w:b w:val="0"/>
          <w:bCs w:val="0"/>
          <w:color w:val="auto"/>
          <w:sz w:val="20"/>
          <w:szCs w:val="20"/>
          <w:highlight w:val="none"/>
          <w:vertAlign w:val="baseline"/>
          <w:lang w:val="en-US" w:eastAsia="zh-CN"/>
        </w:rPr>
        <w:t>Way forward on NC UL CA PC2 requirements</w:t>
      </w:r>
      <w:r>
        <w:rPr>
          <w:rFonts w:hint="eastAsia" w:eastAsia="宋体" w:cs="Times New Roman"/>
          <w:b w:val="0"/>
          <w:bCs w:val="0"/>
          <w:color w:val="auto"/>
          <w:sz w:val="20"/>
          <w:szCs w:val="20"/>
          <w:highlight w:val="none"/>
          <w:vertAlign w:val="baseline"/>
          <w:lang w:val="en-US" w:eastAsia="zh-CN"/>
        </w:rPr>
        <w:t>, ZTE</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[2] R4-2103371, Way forward on NC UL CA PC2 evaluation assumptions and scenarios, Skyworks</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[3] R4-2017827, WF on RF requirements for PC2 intra-band contiguous UL CA</w:t>
      </w:r>
      <w:r>
        <w:rPr>
          <w:rFonts w:hint="eastAsia" w:ascii="Times New Roman" w:hAnsi="Times New Roman" w:eastAsia="宋体" w:cs="Times New Roman"/>
          <w:b w:val="0"/>
          <w:bCs w:val="0"/>
          <w:color w:val="auto"/>
          <w:sz w:val="20"/>
          <w:szCs w:val="20"/>
          <w:highlight w:val="none"/>
          <w:vertAlign w:val="baseline"/>
          <w:lang w:val="en-US" w:eastAsia="zh-CN"/>
        </w:rPr>
        <w:t xml:space="preserve">, </w:t>
      </w:r>
      <w:r>
        <w:rPr>
          <w:rFonts w:hint="eastAsia" w:eastAsia="宋体" w:cs="Times New Roman"/>
          <w:b w:val="0"/>
          <w:bCs w:val="0"/>
          <w:color w:val="auto"/>
          <w:sz w:val="20"/>
          <w:szCs w:val="20"/>
          <w:highlight w:val="none"/>
          <w:vertAlign w:val="baseline"/>
          <w:lang w:val="en-US" w:eastAsia="zh-CN"/>
        </w:rPr>
        <w:t>Huawei</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[4] R4-2103324, Email discussion summary for [98e][137] NR_RF_FR1_enh_Part_3, Qualcomm Incorporated</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[5] R4-2103231, WF on RF architecture and requirements for PC2 intra-band UL contiguous CA</w:t>
      </w:r>
      <w:r>
        <w:rPr>
          <w:rFonts w:hint="eastAsia" w:ascii="Times New Roman" w:hAnsi="Times New Roman" w:eastAsia="宋体" w:cs="Times New Roman"/>
          <w:b w:val="0"/>
          <w:bCs w:val="0"/>
          <w:color w:val="auto"/>
          <w:sz w:val="20"/>
          <w:szCs w:val="20"/>
          <w:highlight w:val="none"/>
          <w:vertAlign w:val="baseline"/>
          <w:lang w:val="en-US" w:eastAsia="zh-CN"/>
        </w:rPr>
        <w:t xml:space="preserve">, </w:t>
      </w:r>
      <w:r>
        <w:rPr>
          <w:rFonts w:hint="eastAsia" w:eastAsia="宋体" w:cs="Times New Roman"/>
          <w:b w:val="0"/>
          <w:bCs w:val="0"/>
          <w:color w:val="auto"/>
          <w:sz w:val="20"/>
          <w:szCs w:val="20"/>
          <w:highlight w:val="none"/>
          <w:vertAlign w:val="baseline"/>
          <w:lang w:val="en-US" w:eastAsia="zh-CN"/>
        </w:rPr>
        <w:t>Huawei</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p>
    <w:p>
      <w:pPr>
        <w:keepNext/>
        <w:keepLines/>
        <w:pageBreakBefore w:val="0"/>
        <w:widowControl w:val="0"/>
        <w:numPr>
          <w:ilvl w:val="0"/>
          <w:numId w:val="0"/>
        </w:numPr>
        <w:tabs>
          <w:tab w:val="left" w:pos="2127"/>
        </w:tabs>
        <w:kinsoku/>
        <w:wordWrap/>
        <w:overflowPunct/>
        <w:topLinePunct w:val="0"/>
        <w:autoSpaceDE/>
        <w:autoSpaceDN/>
        <w:bidi w:val="0"/>
        <w:adjustRightInd/>
        <w:snapToGrid/>
        <w:spacing w:before="120" w:after="120"/>
        <w:ind w:leftChars="0"/>
        <w:jc w:val="both"/>
        <w:textAlignment w:val="auto"/>
        <w:outlineLvl w:val="9"/>
        <w:rPr>
          <w:rFonts w:hint="default" w:eastAsia="宋体" w:cs="Times New Roman"/>
          <w:b w:val="0"/>
          <w:bCs w:val="0"/>
          <w:color w:val="auto"/>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color w:val="auto"/>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8C4F41"/>
    <w:multiLevelType w:val="singleLevel"/>
    <w:tmpl w:val="E98C4F4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307"/>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881"/>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760"/>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854A8"/>
    <w:rsid w:val="016C5EFD"/>
    <w:rsid w:val="01704218"/>
    <w:rsid w:val="01711B9C"/>
    <w:rsid w:val="01716051"/>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93AA7"/>
    <w:rsid w:val="02096EC3"/>
    <w:rsid w:val="020E4504"/>
    <w:rsid w:val="020F764C"/>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C24F6"/>
    <w:rsid w:val="028575FB"/>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16E27"/>
    <w:rsid w:val="03056F8E"/>
    <w:rsid w:val="030736A8"/>
    <w:rsid w:val="030F5E0C"/>
    <w:rsid w:val="03133069"/>
    <w:rsid w:val="03176F63"/>
    <w:rsid w:val="0318176C"/>
    <w:rsid w:val="03187EF2"/>
    <w:rsid w:val="031C7AD1"/>
    <w:rsid w:val="031E00BE"/>
    <w:rsid w:val="03224907"/>
    <w:rsid w:val="032258E3"/>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9F742C"/>
    <w:rsid w:val="03A836A4"/>
    <w:rsid w:val="03AA0E0B"/>
    <w:rsid w:val="03AB0100"/>
    <w:rsid w:val="03AE03ED"/>
    <w:rsid w:val="03B022C7"/>
    <w:rsid w:val="03B41943"/>
    <w:rsid w:val="03B42918"/>
    <w:rsid w:val="03B70660"/>
    <w:rsid w:val="03B768EE"/>
    <w:rsid w:val="03BC14CC"/>
    <w:rsid w:val="03BE4466"/>
    <w:rsid w:val="03C36A9F"/>
    <w:rsid w:val="03C43BA5"/>
    <w:rsid w:val="03C73BC2"/>
    <w:rsid w:val="03C811D1"/>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AF408A"/>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1D72AB"/>
    <w:rsid w:val="052A53FB"/>
    <w:rsid w:val="05372C11"/>
    <w:rsid w:val="053C7BE5"/>
    <w:rsid w:val="054A11F0"/>
    <w:rsid w:val="054D1171"/>
    <w:rsid w:val="05511F04"/>
    <w:rsid w:val="05570220"/>
    <w:rsid w:val="055E1C97"/>
    <w:rsid w:val="056460C8"/>
    <w:rsid w:val="05682B24"/>
    <w:rsid w:val="05722307"/>
    <w:rsid w:val="057B068F"/>
    <w:rsid w:val="057D13E0"/>
    <w:rsid w:val="057D208E"/>
    <w:rsid w:val="057E2E99"/>
    <w:rsid w:val="058162F2"/>
    <w:rsid w:val="058745B2"/>
    <w:rsid w:val="058B1C46"/>
    <w:rsid w:val="058C5F4A"/>
    <w:rsid w:val="058D33C5"/>
    <w:rsid w:val="058E4F3F"/>
    <w:rsid w:val="058E5F69"/>
    <w:rsid w:val="059E20A2"/>
    <w:rsid w:val="05A61B3E"/>
    <w:rsid w:val="05A77370"/>
    <w:rsid w:val="05CE76F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86CAE"/>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23FB"/>
    <w:rsid w:val="0A37750E"/>
    <w:rsid w:val="0A411659"/>
    <w:rsid w:val="0A4366FB"/>
    <w:rsid w:val="0A452965"/>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16C2"/>
    <w:rsid w:val="0AB044B1"/>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0B7586"/>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B0A3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0C20C7"/>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97EBA"/>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0D174B"/>
    <w:rsid w:val="1010549F"/>
    <w:rsid w:val="10145E18"/>
    <w:rsid w:val="10175238"/>
    <w:rsid w:val="10197CA4"/>
    <w:rsid w:val="101B0376"/>
    <w:rsid w:val="101E6D08"/>
    <w:rsid w:val="10233686"/>
    <w:rsid w:val="102C36D4"/>
    <w:rsid w:val="1031370F"/>
    <w:rsid w:val="10323E67"/>
    <w:rsid w:val="10396F61"/>
    <w:rsid w:val="104166B0"/>
    <w:rsid w:val="104436B8"/>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75C4B"/>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F2B47"/>
    <w:rsid w:val="11A67383"/>
    <w:rsid w:val="11B05A60"/>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94EB2"/>
    <w:rsid w:val="121A10A0"/>
    <w:rsid w:val="122605E2"/>
    <w:rsid w:val="122A4C9F"/>
    <w:rsid w:val="12332CE2"/>
    <w:rsid w:val="12376283"/>
    <w:rsid w:val="123E2CA3"/>
    <w:rsid w:val="124E6485"/>
    <w:rsid w:val="12550EAE"/>
    <w:rsid w:val="125810DA"/>
    <w:rsid w:val="12627A41"/>
    <w:rsid w:val="12647704"/>
    <w:rsid w:val="12663A63"/>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07324"/>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842A6"/>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B7D91"/>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B7672"/>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820C0"/>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DD6516"/>
    <w:rsid w:val="17DE5415"/>
    <w:rsid w:val="17E967DA"/>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C19F1"/>
    <w:rsid w:val="186E121C"/>
    <w:rsid w:val="187D0B92"/>
    <w:rsid w:val="18893D17"/>
    <w:rsid w:val="188D7FF5"/>
    <w:rsid w:val="189624B7"/>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6F46"/>
    <w:rsid w:val="18F81760"/>
    <w:rsid w:val="18FB7C71"/>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6D5B51"/>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B683E"/>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51E9F"/>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D5CDC"/>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A711B"/>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7C6F01"/>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722B2"/>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87B8A"/>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3565F"/>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6642A"/>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B099C"/>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36519"/>
    <w:rsid w:val="21541887"/>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3F7E9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2E11B9"/>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46A3"/>
    <w:rsid w:val="239A67F3"/>
    <w:rsid w:val="23A734EB"/>
    <w:rsid w:val="23AA6310"/>
    <w:rsid w:val="23B06933"/>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C35A3"/>
    <w:rsid w:val="24FD418E"/>
    <w:rsid w:val="250052D0"/>
    <w:rsid w:val="25020D7F"/>
    <w:rsid w:val="250C627A"/>
    <w:rsid w:val="250D152E"/>
    <w:rsid w:val="25151733"/>
    <w:rsid w:val="251554D8"/>
    <w:rsid w:val="25183DC1"/>
    <w:rsid w:val="251918D0"/>
    <w:rsid w:val="251F4CFE"/>
    <w:rsid w:val="252D4705"/>
    <w:rsid w:val="25317D5D"/>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B049D"/>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4711E"/>
    <w:rsid w:val="27453A80"/>
    <w:rsid w:val="27464C4E"/>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CE1876"/>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57460"/>
    <w:rsid w:val="28CD52EA"/>
    <w:rsid w:val="28CF2CA7"/>
    <w:rsid w:val="28D62CC7"/>
    <w:rsid w:val="28D70028"/>
    <w:rsid w:val="28DB17E6"/>
    <w:rsid w:val="28DD3BE4"/>
    <w:rsid w:val="28DE6245"/>
    <w:rsid w:val="28E23CBD"/>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922396"/>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E6BF5"/>
    <w:rsid w:val="2AEF1DBC"/>
    <w:rsid w:val="2AF940AB"/>
    <w:rsid w:val="2AFF2EB0"/>
    <w:rsid w:val="2AFF6246"/>
    <w:rsid w:val="2B061E16"/>
    <w:rsid w:val="2B0651DB"/>
    <w:rsid w:val="2B081CE2"/>
    <w:rsid w:val="2B0B7DF6"/>
    <w:rsid w:val="2B0D72CB"/>
    <w:rsid w:val="2B0E24FA"/>
    <w:rsid w:val="2B122123"/>
    <w:rsid w:val="2B130886"/>
    <w:rsid w:val="2B1E649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932127"/>
    <w:rsid w:val="2C971239"/>
    <w:rsid w:val="2C9C58AB"/>
    <w:rsid w:val="2CA7026F"/>
    <w:rsid w:val="2CAA115B"/>
    <w:rsid w:val="2CAA28C6"/>
    <w:rsid w:val="2CAA5EA4"/>
    <w:rsid w:val="2CB4069E"/>
    <w:rsid w:val="2CB83960"/>
    <w:rsid w:val="2CB9719D"/>
    <w:rsid w:val="2CBB1822"/>
    <w:rsid w:val="2CBE00EC"/>
    <w:rsid w:val="2CC63844"/>
    <w:rsid w:val="2CC823DB"/>
    <w:rsid w:val="2CD173BB"/>
    <w:rsid w:val="2CDD7FEB"/>
    <w:rsid w:val="2CE1756B"/>
    <w:rsid w:val="2CE202D4"/>
    <w:rsid w:val="2CE914BE"/>
    <w:rsid w:val="2CEA0BBE"/>
    <w:rsid w:val="2CF03153"/>
    <w:rsid w:val="2CFE082A"/>
    <w:rsid w:val="2D03574C"/>
    <w:rsid w:val="2D0772FD"/>
    <w:rsid w:val="2D0947D4"/>
    <w:rsid w:val="2D0C28DF"/>
    <w:rsid w:val="2D13536A"/>
    <w:rsid w:val="2D200760"/>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17506"/>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2672"/>
    <w:rsid w:val="2DFE3435"/>
    <w:rsid w:val="2E1931E7"/>
    <w:rsid w:val="2E281711"/>
    <w:rsid w:val="2E3656F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B4950"/>
    <w:rsid w:val="2EAC4449"/>
    <w:rsid w:val="2EB177AD"/>
    <w:rsid w:val="2EBA7E66"/>
    <w:rsid w:val="2EBF694E"/>
    <w:rsid w:val="2EC90753"/>
    <w:rsid w:val="2EC9758F"/>
    <w:rsid w:val="2ECF0E4A"/>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11DD5"/>
    <w:rsid w:val="2FB362DF"/>
    <w:rsid w:val="2FB3789D"/>
    <w:rsid w:val="2FBF69B5"/>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A3E1B"/>
    <w:rsid w:val="30AB7B68"/>
    <w:rsid w:val="30AF567B"/>
    <w:rsid w:val="30B001DD"/>
    <w:rsid w:val="30B11949"/>
    <w:rsid w:val="30B47501"/>
    <w:rsid w:val="30C31A45"/>
    <w:rsid w:val="30C71F2B"/>
    <w:rsid w:val="30C76CBF"/>
    <w:rsid w:val="30DC42AB"/>
    <w:rsid w:val="30E068F9"/>
    <w:rsid w:val="30EF2653"/>
    <w:rsid w:val="30FB185C"/>
    <w:rsid w:val="310A7D44"/>
    <w:rsid w:val="310D3EAC"/>
    <w:rsid w:val="310E5B69"/>
    <w:rsid w:val="311108E9"/>
    <w:rsid w:val="31130B1C"/>
    <w:rsid w:val="31143422"/>
    <w:rsid w:val="3114758B"/>
    <w:rsid w:val="31177D87"/>
    <w:rsid w:val="312008C2"/>
    <w:rsid w:val="31241CD6"/>
    <w:rsid w:val="31244914"/>
    <w:rsid w:val="312A3D0F"/>
    <w:rsid w:val="312D6D92"/>
    <w:rsid w:val="31311AA0"/>
    <w:rsid w:val="313344AE"/>
    <w:rsid w:val="314A02A1"/>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B696B"/>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915561"/>
    <w:rsid w:val="33952B15"/>
    <w:rsid w:val="33953748"/>
    <w:rsid w:val="339D641B"/>
    <w:rsid w:val="339F747C"/>
    <w:rsid w:val="33A41288"/>
    <w:rsid w:val="33A75E06"/>
    <w:rsid w:val="33BC17A1"/>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748E9"/>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B1369F"/>
    <w:rsid w:val="34BA11D5"/>
    <w:rsid w:val="34BB104E"/>
    <w:rsid w:val="34BF6630"/>
    <w:rsid w:val="34C53096"/>
    <w:rsid w:val="34C7084F"/>
    <w:rsid w:val="34CA0CA8"/>
    <w:rsid w:val="34CA5080"/>
    <w:rsid w:val="34CB1AC9"/>
    <w:rsid w:val="34D30834"/>
    <w:rsid w:val="34D44214"/>
    <w:rsid w:val="34D62270"/>
    <w:rsid w:val="34DA659F"/>
    <w:rsid w:val="34DD44E1"/>
    <w:rsid w:val="34E83DEA"/>
    <w:rsid w:val="34E9193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2B279D"/>
    <w:rsid w:val="353314EE"/>
    <w:rsid w:val="35352995"/>
    <w:rsid w:val="353778DA"/>
    <w:rsid w:val="35416709"/>
    <w:rsid w:val="3542277B"/>
    <w:rsid w:val="35515024"/>
    <w:rsid w:val="35523D07"/>
    <w:rsid w:val="3555395C"/>
    <w:rsid w:val="355C7676"/>
    <w:rsid w:val="35610626"/>
    <w:rsid w:val="35637F84"/>
    <w:rsid w:val="356663E9"/>
    <w:rsid w:val="356765EC"/>
    <w:rsid w:val="3576224E"/>
    <w:rsid w:val="35791A73"/>
    <w:rsid w:val="357B16BE"/>
    <w:rsid w:val="357C5321"/>
    <w:rsid w:val="357D1145"/>
    <w:rsid w:val="35805998"/>
    <w:rsid w:val="358111E8"/>
    <w:rsid w:val="3592406A"/>
    <w:rsid w:val="359C1D12"/>
    <w:rsid w:val="359D69D5"/>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A0C3D"/>
    <w:rsid w:val="361D4745"/>
    <w:rsid w:val="361E4A68"/>
    <w:rsid w:val="361E4BCF"/>
    <w:rsid w:val="361F359F"/>
    <w:rsid w:val="362029EC"/>
    <w:rsid w:val="362C44AF"/>
    <w:rsid w:val="362F386E"/>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954A4"/>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C2D0E"/>
    <w:rsid w:val="378E0749"/>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06E11"/>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BF12A8"/>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02E7"/>
    <w:rsid w:val="3C7D236C"/>
    <w:rsid w:val="3C914E1A"/>
    <w:rsid w:val="3C961419"/>
    <w:rsid w:val="3CA12CEA"/>
    <w:rsid w:val="3CA1514C"/>
    <w:rsid w:val="3CA40A32"/>
    <w:rsid w:val="3CAE61AF"/>
    <w:rsid w:val="3CC13333"/>
    <w:rsid w:val="3CCB357A"/>
    <w:rsid w:val="3CD259B2"/>
    <w:rsid w:val="3CDF6131"/>
    <w:rsid w:val="3CE712DC"/>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02EDA"/>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17374"/>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E3BC8"/>
    <w:rsid w:val="3F5F3D73"/>
    <w:rsid w:val="3F5F4C59"/>
    <w:rsid w:val="3F5F5C1D"/>
    <w:rsid w:val="3F600CDF"/>
    <w:rsid w:val="3F6340BB"/>
    <w:rsid w:val="3F666017"/>
    <w:rsid w:val="3F6959E9"/>
    <w:rsid w:val="3F772CDB"/>
    <w:rsid w:val="3F782BF0"/>
    <w:rsid w:val="3F78346E"/>
    <w:rsid w:val="3F7F37C6"/>
    <w:rsid w:val="3F856B04"/>
    <w:rsid w:val="3F861C6A"/>
    <w:rsid w:val="3F8F1C55"/>
    <w:rsid w:val="3F942190"/>
    <w:rsid w:val="3FA64897"/>
    <w:rsid w:val="3FA91FD2"/>
    <w:rsid w:val="3FAC10D8"/>
    <w:rsid w:val="3FAC11DA"/>
    <w:rsid w:val="3FB227A2"/>
    <w:rsid w:val="3FB715DC"/>
    <w:rsid w:val="3FBA32BF"/>
    <w:rsid w:val="3FBD05DF"/>
    <w:rsid w:val="3FC05D9C"/>
    <w:rsid w:val="3FC33772"/>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52F0F"/>
    <w:rsid w:val="406A3621"/>
    <w:rsid w:val="407066C3"/>
    <w:rsid w:val="40775EFD"/>
    <w:rsid w:val="407A080F"/>
    <w:rsid w:val="407B3D06"/>
    <w:rsid w:val="40844021"/>
    <w:rsid w:val="408604AB"/>
    <w:rsid w:val="40891323"/>
    <w:rsid w:val="408F6C4D"/>
    <w:rsid w:val="40924A6B"/>
    <w:rsid w:val="4097144A"/>
    <w:rsid w:val="40A27041"/>
    <w:rsid w:val="40A84378"/>
    <w:rsid w:val="40AB4BB4"/>
    <w:rsid w:val="40B24A84"/>
    <w:rsid w:val="40BB567D"/>
    <w:rsid w:val="40BF2A94"/>
    <w:rsid w:val="40C103B9"/>
    <w:rsid w:val="40C633D4"/>
    <w:rsid w:val="40C7688B"/>
    <w:rsid w:val="40CB578E"/>
    <w:rsid w:val="40CD1B60"/>
    <w:rsid w:val="40DF4097"/>
    <w:rsid w:val="40E55E1D"/>
    <w:rsid w:val="40E745F9"/>
    <w:rsid w:val="40EA073F"/>
    <w:rsid w:val="40EB1A84"/>
    <w:rsid w:val="40EC4B5C"/>
    <w:rsid w:val="40F137A1"/>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4F1479"/>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24CC6"/>
    <w:rsid w:val="422B1696"/>
    <w:rsid w:val="42331624"/>
    <w:rsid w:val="424060C2"/>
    <w:rsid w:val="42412036"/>
    <w:rsid w:val="42425838"/>
    <w:rsid w:val="42471762"/>
    <w:rsid w:val="424A1A38"/>
    <w:rsid w:val="425021A3"/>
    <w:rsid w:val="4251230D"/>
    <w:rsid w:val="42526049"/>
    <w:rsid w:val="42544483"/>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87402"/>
    <w:rsid w:val="42EB6D52"/>
    <w:rsid w:val="42F21F62"/>
    <w:rsid w:val="43021632"/>
    <w:rsid w:val="43072A65"/>
    <w:rsid w:val="43092E10"/>
    <w:rsid w:val="430A27B3"/>
    <w:rsid w:val="430B5D6E"/>
    <w:rsid w:val="431049B1"/>
    <w:rsid w:val="431B3898"/>
    <w:rsid w:val="4322345A"/>
    <w:rsid w:val="43231966"/>
    <w:rsid w:val="43232B12"/>
    <w:rsid w:val="43251E1F"/>
    <w:rsid w:val="43273F04"/>
    <w:rsid w:val="432A7A55"/>
    <w:rsid w:val="432D6382"/>
    <w:rsid w:val="43314493"/>
    <w:rsid w:val="43332BD3"/>
    <w:rsid w:val="43367CDF"/>
    <w:rsid w:val="433E6455"/>
    <w:rsid w:val="434425F8"/>
    <w:rsid w:val="4345760E"/>
    <w:rsid w:val="434677FF"/>
    <w:rsid w:val="43496B59"/>
    <w:rsid w:val="43592EBF"/>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87373"/>
    <w:rsid w:val="4469781B"/>
    <w:rsid w:val="446B012C"/>
    <w:rsid w:val="446B78B4"/>
    <w:rsid w:val="44702C91"/>
    <w:rsid w:val="44724C49"/>
    <w:rsid w:val="44762BEB"/>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F0E18"/>
    <w:rsid w:val="44F05A97"/>
    <w:rsid w:val="44F45801"/>
    <w:rsid w:val="44FA3828"/>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4E4A39"/>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24EC8"/>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0657"/>
    <w:rsid w:val="473B3D78"/>
    <w:rsid w:val="473C77B9"/>
    <w:rsid w:val="47460375"/>
    <w:rsid w:val="474A472D"/>
    <w:rsid w:val="475753A8"/>
    <w:rsid w:val="47586FED"/>
    <w:rsid w:val="475E470D"/>
    <w:rsid w:val="476068F1"/>
    <w:rsid w:val="47641EB1"/>
    <w:rsid w:val="476A715B"/>
    <w:rsid w:val="476B4434"/>
    <w:rsid w:val="476E2BE3"/>
    <w:rsid w:val="47716C2D"/>
    <w:rsid w:val="47745B57"/>
    <w:rsid w:val="47763B2D"/>
    <w:rsid w:val="477B277D"/>
    <w:rsid w:val="477C2090"/>
    <w:rsid w:val="478373EB"/>
    <w:rsid w:val="478A3491"/>
    <w:rsid w:val="478A5B52"/>
    <w:rsid w:val="478F46FA"/>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8C67B6"/>
    <w:rsid w:val="489C391E"/>
    <w:rsid w:val="489D1A1D"/>
    <w:rsid w:val="48A46169"/>
    <w:rsid w:val="48A5233A"/>
    <w:rsid w:val="48B32DFD"/>
    <w:rsid w:val="48B707D0"/>
    <w:rsid w:val="48C27A4C"/>
    <w:rsid w:val="48C43321"/>
    <w:rsid w:val="48C63B56"/>
    <w:rsid w:val="48D0509E"/>
    <w:rsid w:val="48DB1003"/>
    <w:rsid w:val="48E10B93"/>
    <w:rsid w:val="48E17D75"/>
    <w:rsid w:val="48ED742E"/>
    <w:rsid w:val="48EF18C9"/>
    <w:rsid w:val="48F82359"/>
    <w:rsid w:val="48FB40DA"/>
    <w:rsid w:val="48FD5F69"/>
    <w:rsid w:val="49004F9E"/>
    <w:rsid w:val="49042181"/>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113CD"/>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97402"/>
    <w:rsid w:val="4ACF133B"/>
    <w:rsid w:val="4ACF2BA4"/>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1B29BA"/>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B32BC"/>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15133"/>
    <w:rsid w:val="4D1B7EE6"/>
    <w:rsid w:val="4D1D3D38"/>
    <w:rsid w:val="4D2311AE"/>
    <w:rsid w:val="4D2C14E2"/>
    <w:rsid w:val="4D322434"/>
    <w:rsid w:val="4D3A6803"/>
    <w:rsid w:val="4D3E1F5E"/>
    <w:rsid w:val="4D4B29FB"/>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2F0248"/>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0E850A8"/>
    <w:rsid w:val="50EE1F92"/>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82BAB"/>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16CEC"/>
    <w:rsid w:val="547312A9"/>
    <w:rsid w:val="547475CB"/>
    <w:rsid w:val="547A5E91"/>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22E40"/>
    <w:rsid w:val="59A379DA"/>
    <w:rsid w:val="59A727AE"/>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951C8"/>
    <w:rsid w:val="5CCD5AF3"/>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3243"/>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A37AA"/>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470B9"/>
    <w:rsid w:val="5ED70F57"/>
    <w:rsid w:val="5EDD6588"/>
    <w:rsid w:val="5EE75CEA"/>
    <w:rsid w:val="5EEB22CF"/>
    <w:rsid w:val="5EF53E3A"/>
    <w:rsid w:val="5EF96054"/>
    <w:rsid w:val="5F010607"/>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3AEA"/>
    <w:rsid w:val="5F615247"/>
    <w:rsid w:val="5F6A5A0A"/>
    <w:rsid w:val="5F73758B"/>
    <w:rsid w:val="5F796C02"/>
    <w:rsid w:val="5F7A3813"/>
    <w:rsid w:val="5F7B787C"/>
    <w:rsid w:val="5F7C348D"/>
    <w:rsid w:val="5F7D2DFF"/>
    <w:rsid w:val="5F8E07ED"/>
    <w:rsid w:val="5F926242"/>
    <w:rsid w:val="5F9D5EA1"/>
    <w:rsid w:val="5F9D7BCF"/>
    <w:rsid w:val="5FA03264"/>
    <w:rsid w:val="5FA67313"/>
    <w:rsid w:val="5FAF6A8E"/>
    <w:rsid w:val="5FB41C12"/>
    <w:rsid w:val="5FB66F77"/>
    <w:rsid w:val="5FBD0EC7"/>
    <w:rsid w:val="5FC23A38"/>
    <w:rsid w:val="5FC458D2"/>
    <w:rsid w:val="5FCE6F1E"/>
    <w:rsid w:val="5FD12F75"/>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84651"/>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9B1EA1"/>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91F33"/>
    <w:rsid w:val="616B249B"/>
    <w:rsid w:val="617666B2"/>
    <w:rsid w:val="617830BA"/>
    <w:rsid w:val="617F7B7F"/>
    <w:rsid w:val="618B6A17"/>
    <w:rsid w:val="618D7F78"/>
    <w:rsid w:val="61937195"/>
    <w:rsid w:val="61944E4E"/>
    <w:rsid w:val="61972B79"/>
    <w:rsid w:val="619872D1"/>
    <w:rsid w:val="619F7215"/>
    <w:rsid w:val="61A35D23"/>
    <w:rsid w:val="61A95324"/>
    <w:rsid w:val="61AA2B1C"/>
    <w:rsid w:val="61B02285"/>
    <w:rsid w:val="61BD0FD1"/>
    <w:rsid w:val="61C63667"/>
    <w:rsid w:val="61D033C7"/>
    <w:rsid w:val="61D2628F"/>
    <w:rsid w:val="61D72ED5"/>
    <w:rsid w:val="61D978CA"/>
    <w:rsid w:val="61E07E1D"/>
    <w:rsid w:val="61EA2F9B"/>
    <w:rsid w:val="61F64453"/>
    <w:rsid w:val="61F66272"/>
    <w:rsid w:val="61F938CE"/>
    <w:rsid w:val="61FA3894"/>
    <w:rsid w:val="6202274E"/>
    <w:rsid w:val="62054959"/>
    <w:rsid w:val="62062F61"/>
    <w:rsid w:val="620D2C8B"/>
    <w:rsid w:val="6211505B"/>
    <w:rsid w:val="6218449B"/>
    <w:rsid w:val="622310F6"/>
    <w:rsid w:val="622518CF"/>
    <w:rsid w:val="62270A5A"/>
    <w:rsid w:val="6227128D"/>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5F2D45"/>
    <w:rsid w:val="626041CE"/>
    <w:rsid w:val="62604577"/>
    <w:rsid w:val="62607F0F"/>
    <w:rsid w:val="62646C56"/>
    <w:rsid w:val="62675C23"/>
    <w:rsid w:val="626913D2"/>
    <w:rsid w:val="626F3399"/>
    <w:rsid w:val="62710CC6"/>
    <w:rsid w:val="62786ED2"/>
    <w:rsid w:val="628710AB"/>
    <w:rsid w:val="6289557C"/>
    <w:rsid w:val="628A2538"/>
    <w:rsid w:val="628F69CD"/>
    <w:rsid w:val="62906F6B"/>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AD731F"/>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251C3"/>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C61A1"/>
    <w:rsid w:val="68EE43B5"/>
    <w:rsid w:val="68F4009D"/>
    <w:rsid w:val="68F43917"/>
    <w:rsid w:val="68F502B2"/>
    <w:rsid w:val="69032EE2"/>
    <w:rsid w:val="690F2791"/>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2414E"/>
    <w:rsid w:val="69962800"/>
    <w:rsid w:val="6997318E"/>
    <w:rsid w:val="6997663E"/>
    <w:rsid w:val="69A61AA0"/>
    <w:rsid w:val="69AF77C2"/>
    <w:rsid w:val="69B4353F"/>
    <w:rsid w:val="69B942B7"/>
    <w:rsid w:val="69BC68F7"/>
    <w:rsid w:val="69BE197B"/>
    <w:rsid w:val="69C328C6"/>
    <w:rsid w:val="69D210F3"/>
    <w:rsid w:val="69D64A5B"/>
    <w:rsid w:val="69DD7F9F"/>
    <w:rsid w:val="69E17EA8"/>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24A03"/>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AB17A4"/>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07A7B"/>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60E2E"/>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9F3528"/>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3FF0"/>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950AF"/>
    <w:rsid w:val="703A151D"/>
    <w:rsid w:val="703B64CB"/>
    <w:rsid w:val="703C38DB"/>
    <w:rsid w:val="703C6EA9"/>
    <w:rsid w:val="703D4B4E"/>
    <w:rsid w:val="70423C90"/>
    <w:rsid w:val="70490D6C"/>
    <w:rsid w:val="70691205"/>
    <w:rsid w:val="706B38CF"/>
    <w:rsid w:val="706B49E5"/>
    <w:rsid w:val="706F6FD3"/>
    <w:rsid w:val="70704FB3"/>
    <w:rsid w:val="707118E2"/>
    <w:rsid w:val="707427EF"/>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B4C32"/>
    <w:rsid w:val="713C5C10"/>
    <w:rsid w:val="714D267F"/>
    <w:rsid w:val="71507CEF"/>
    <w:rsid w:val="715106E8"/>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63103"/>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21F6B"/>
    <w:rsid w:val="74663D42"/>
    <w:rsid w:val="746D50DA"/>
    <w:rsid w:val="746F7244"/>
    <w:rsid w:val="7471001B"/>
    <w:rsid w:val="74716A08"/>
    <w:rsid w:val="747A6F58"/>
    <w:rsid w:val="747B7F4A"/>
    <w:rsid w:val="747C4DE9"/>
    <w:rsid w:val="74806D03"/>
    <w:rsid w:val="74813EEA"/>
    <w:rsid w:val="74883531"/>
    <w:rsid w:val="74886C9D"/>
    <w:rsid w:val="748E40CB"/>
    <w:rsid w:val="74902902"/>
    <w:rsid w:val="74904A1C"/>
    <w:rsid w:val="74905AB6"/>
    <w:rsid w:val="749A353B"/>
    <w:rsid w:val="749E3A5B"/>
    <w:rsid w:val="74B30C33"/>
    <w:rsid w:val="74CA3AD5"/>
    <w:rsid w:val="74CC087B"/>
    <w:rsid w:val="74CC36DC"/>
    <w:rsid w:val="74CE67CF"/>
    <w:rsid w:val="74CF49BD"/>
    <w:rsid w:val="74D073FB"/>
    <w:rsid w:val="74D25EE2"/>
    <w:rsid w:val="74D94700"/>
    <w:rsid w:val="74E21F05"/>
    <w:rsid w:val="74E73044"/>
    <w:rsid w:val="74E834DD"/>
    <w:rsid w:val="74EA4730"/>
    <w:rsid w:val="74EA64E9"/>
    <w:rsid w:val="74EB5471"/>
    <w:rsid w:val="74F821E3"/>
    <w:rsid w:val="74FE6EDC"/>
    <w:rsid w:val="75004176"/>
    <w:rsid w:val="75017AB3"/>
    <w:rsid w:val="75076022"/>
    <w:rsid w:val="750D05D3"/>
    <w:rsid w:val="750E04AA"/>
    <w:rsid w:val="750E7F27"/>
    <w:rsid w:val="75126E1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64D2"/>
    <w:rsid w:val="7590720B"/>
    <w:rsid w:val="75917E72"/>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7E00BA"/>
    <w:rsid w:val="778A6405"/>
    <w:rsid w:val="778C20B8"/>
    <w:rsid w:val="778C3CA6"/>
    <w:rsid w:val="778F33CE"/>
    <w:rsid w:val="779232E0"/>
    <w:rsid w:val="77931EFF"/>
    <w:rsid w:val="779F47B2"/>
    <w:rsid w:val="77A50807"/>
    <w:rsid w:val="77AF421C"/>
    <w:rsid w:val="77B36B5D"/>
    <w:rsid w:val="77B61118"/>
    <w:rsid w:val="77B715FF"/>
    <w:rsid w:val="77B75A06"/>
    <w:rsid w:val="77C0217C"/>
    <w:rsid w:val="77C73C66"/>
    <w:rsid w:val="77CC6CB8"/>
    <w:rsid w:val="77D0780A"/>
    <w:rsid w:val="77E1742C"/>
    <w:rsid w:val="77E17891"/>
    <w:rsid w:val="77E4323F"/>
    <w:rsid w:val="77E55DE5"/>
    <w:rsid w:val="77EA424F"/>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16BCE"/>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39"/>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463D9"/>
    <w:rsid w:val="7A3974D6"/>
    <w:rsid w:val="7A4060AE"/>
    <w:rsid w:val="7A442764"/>
    <w:rsid w:val="7A4B390A"/>
    <w:rsid w:val="7A4C413A"/>
    <w:rsid w:val="7A5467D6"/>
    <w:rsid w:val="7A55702A"/>
    <w:rsid w:val="7A5675F8"/>
    <w:rsid w:val="7A5B6C79"/>
    <w:rsid w:val="7A5C5D1E"/>
    <w:rsid w:val="7A6064FC"/>
    <w:rsid w:val="7A633C0C"/>
    <w:rsid w:val="7A674ACE"/>
    <w:rsid w:val="7A6C55B5"/>
    <w:rsid w:val="7A6E34CA"/>
    <w:rsid w:val="7A787FB1"/>
    <w:rsid w:val="7A797208"/>
    <w:rsid w:val="7A7F7981"/>
    <w:rsid w:val="7A821419"/>
    <w:rsid w:val="7A831E06"/>
    <w:rsid w:val="7A874FD1"/>
    <w:rsid w:val="7A9143C1"/>
    <w:rsid w:val="7AAB2D5F"/>
    <w:rsid w:val="7AAC38E0"/>
    <w:rsid w:val="7AB55CF4"/>
    <w:rsid w:val="7ABF10D1"/>
    <w:rsid w:val="7AC03E60"/>
    <w:rsid w:val="7AC36589"/>
    <w:rsid w:val="7AC743A7"/>
    <w:rsid w:val="7AD75598"/>
    <w:rsid w:val="7ADA08CB"/>
    <w:rsid w:val="7ADE7D20"/>
    <w:rsid w:val="7AE16BF9"/>
    <w:rsid w:val="7AE6530E"/>
    <w:rsid w:val="7AEF0262"/>
    <w:rsid w:val="7AF40307"/>
    <w:rsid w:val="7AF70369"/>
    <w:rsid w:val="7B0A1118"/>
    <w:rsid w:val="7B0D40E5"/>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9648F5"/>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16A54"/>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96663"/>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1776E"/>
    <w:rsid w:val="7E827AA6"/>
    <w:rsid w:val="7E867F99"/>
    <w:rsid w:val="7E8B5F9F"/>
    <w:rsid w:val="7E8C54A3"/>
    <w:rsid w:val="7E8C6F7B"/>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EB580B"/>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2146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2021-04-02T13:31:07Z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